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5B18B57C" w14:textId="77777777" w:rsidTr="007E1D85">
        <w:tc>
          <w:tcPr>
            <w:tcW w:w="5211" w:type="dxa"/>
            <w:hideMark/>
          </w:tcPr>
          <w:p w14:paraId="5E9CD4A8" w14:textId="77777777" w:rsidR="007E1D85" w:rsidRPr="008330E7" w:rsidRDefault="007E1D85" w:rsidP="00BD0534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419725FF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5E996FDE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3F657562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РГУ «Комитет 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3255135C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04D47356" w14:textId="75807F59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325B2C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12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325B2C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 </w:t>
            </w:r>
            <w:proofErr w:type="gramEnd"/>
            <w:r w:rsidR="00325B2C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05 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325B2C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25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65596595" w14:textId="77CD13B8" w:rsidR="00084813" w:rsidRPr="00325B2C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325B2C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N085759</w:t>
            </w:r>
          </w:p>
          <w:p w14:paraId="319AFFF0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25968DD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5B9E9293" w14:textId="77777777" w:rsidTr="007E1D85">
        <w:tc>
          <w:tcPr>
            <w:tcW w:w="5211" w:type="dxa"/>
          </w:tcPr>
          <w:p w14:paraId="5DF72FA9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EEC4986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9CD7F6E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5C1C4E" w14:paraId="52E2DFF0" w14:textId="77777777" w:rsidTr="007E1D85">
        <w:trPr>
          <w:trHeight w:val="80"/>
        </w:trPr>
        <w:tc>
          <w:tcPr>
            <w:tcW w:w="5211" w:type="dxa"/>
          </w:tcPr>
          <w:p w14:paraId="6D69F5BB" w14:textId="77777777" w:rsidR="00523D82" w:rsidRPr="00746FF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504E918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86EEF65" w14:textId="77777777" w:rsidR="00523D82" w:rsidRPr="00746FF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4B5E9E7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31DB3C74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2AAF972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3052F2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CEAE129" w14:textId="77777777" w:rsidR="002C76D7" w:rsidRPr="00BD0534" w:rsidRDefault="00BD053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>Эртапенем</w:t>
      </w:r>
      <w:proofErr w:type="spellEnd"/>
    </w:p>
    <w:p w14:paraId="19CCB42B" w14:textId="77777777" w:rsidR="00BD0534" w:rsidRPr="00844CE8" w:rsidRDefault="00BD053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289A07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79A9F886" w14:textId="77777777" w:rsidR="002C76D7" w:rsidRPr="00BD0534" w:rsidRDefault="00BD053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>Эртапенем</w:t>
      </w:r>
      <w:proofErr w:type="spellEnd"/>
    </w:p>
    <w:p w14:paraId="08B021CC" w14:textId="77777777" w:rsidR="00BD0534" w:rsidRPr="00844CE8" w:rsidRDefault="00BD053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0D3EFD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5F364C5F" w14:textId="77777777" w:rsidR="00B01011" w:rsidRDefault="00BD053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D0534">
        <w:rPr>
          <w:rFonts w:ascii="Times New Roman" w:eastAsia="Times New Roman" w:hAnsi="Times New Roman"/>
          <w:sz w:val="28"/>
          <w:szCs w:val="28"/>
          <w:lang w:eastAsia="ru-RU"/>
        </w:rPr>
        <w:t>иофилизат</w:t>
      </w:r>
      <w:proofErr w:type="spellEnd"/>
      <w:r w:rsidRPr="00BD053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приготовления раствора для инъекций, 1 г</w:t>
      </w:r>
    </w:p>
    <w:p w14:paraId="411CB7E5" w14:textId="77777777" w:rsidR="00BD0534" w:rsidRPr="00844CE8" w:rsidRDefault="00BD0534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C7AECD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5889A372" w14:textId="77777777" w:rsidR="00DC089C" w:rsidRPr="00DC089C" w:rsidRDefault="00DC089C" w:rsidP="00DC089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C089C">
        <w:rPr>
          <w:rFonts w:ascii="Times New Roman" w:hAnsi="Times New Roman"/>
          <w:color w:val="000000"/>
          <w:sz w:val="28"/>
          <w:szCs w:val="28"/>
        </w:rPr>
        <w:t>Противоинфекционные</w:t>
      </w:r>
      <w:proofErr w:type="spellEnd"/>
      <w:r w:rsidRPr="00DC089C">
        <w:rPr>
          <w:rFonts w:ascii="Times New Roman" w:hAnsi="Times New Roman"/>
          <w:color w:val="000000"/>
          <w:sz w:val="28"/>
          <w:szCs w:val="28"/>
        </w:rPr>
        <w:t xml:space="preserve"> препараты для системного применения. Антибактериальные препараты для системного применения. Бета-</w:t>
      </w:r>
      <w:proofErr w:type="spellStart"/>
      <w:r w:rsidRPr="00DC089C">
        <w:rPr>
          <w:rFonts w:ascii="Times New Roman" w:hAnsi="Times New Roman"/>
          <w:color w:val="000000"/>
          <w:sz w:val="28"/>
          <w:szCs w:val="28"/>
        </w:rPr>
        <w:t>лактамные</w:t>
      </w:r>
      <w:proofErr w:type="spellEnd"/>
      <w:r w:rsidRPr="00DC089C">
        <w:rPr>
          <w:rFonts w:ascii="Times New Roman" w:hAnsi="Times New Roman"/>
          <w:color w:val="000000"/>
          <w:sz w:val="28"/>
          <w:szCs w:val="28"/>
        </w:rPr>
        <w:t xml:space="preserve"> антибактериальные препараты другие. </w:t>
      </w:r>
      <w:proofErr w:type="spellStart"/>
      <w:r w:rsidRPr="00DC089C">
        <w:rPr>
          <w:rFonts w:ascii="Times New Roman" w:hAnsi="Times New Roman"/>
          <w:color w:val="000000"/>
          <w:sz w:val="28"/>
          <w:szCs w:val="28"/>
        </w:rPr>
        <w:t>Карбапенемы</w:t>
      </w:r>
      <w:proofErr w:type="spellEnd"/>
      <w:r w:rsidRPr="00DC089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C089C">
        <w:rPr>
          <w:rFonts w:ascii="Times New Roman" w:hAnsi="Times New Roman"/>
          <w:color w:val="000000"/>
          <w:sz w:val="28"/>
          <w:szCs w:val="28"/>
        </w:rPr>
        <w:t>Эртапенем</w:t>
      </w:r>
      <w:proofErr w:type="spellEnd"/>
      <w:r w:rsidRPr="00DC089C">
        <w:rPr>
          <w:rFonts w:ascii="Times New Roman" w:hAnsi="Times New Roman"/>
          <w:color w:val="000000"/>
          <w:sz w:val="28"/>
          <w:szCs w:val="28"/>
        </w:rPr>
        <w:t>.</w:t>
      </w:r>
    </w:p>
    <w:p w14:paraId="3350365D" w14:textId="77777777" w:rsidR="002C76D7" w:rsidRPr="00DC089C" w:rsidRDefault="00DC089C" w:rsidP="00DC089C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DC089C">
        <w:rPr>
          <w:rFonts w:ascii="Times New Roman" w:hAnsi="Times New Roman"/>
          <w:color w:val="000000"/>
          <w:sz w:val="28"/>
          <w:szCs w:val="28"/>
        </w:rPr>
        <w:t>Код АТХ J01DH03</w:t>
      </w:r>
      <w:r w:rsidR="002C76D7" w:rsidRPr="00844CE8">
        <w:rPr>
          <w:rFonts w:ascii="Times New Roman" w:hAnsi="Times New Roman"/>
          <w:sz w:val="24"/>
          <w:szCs w:val="24"/>
        </w:rPr>
        <w:br/>
      </w:r>
    </w:p>
    <w:p w14:paraId="2742617B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38A28167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534">
        <w:rPr>
          <w:rFonts w:ascii="Times New Roman" w:hAnsi="Times New Roman"/>
          <w:i/>
          <w:iCs/>
          <w:color w:val="000000"/>
          <w:sz w:val="28"/>
          <w:szCs w:val="28"/>
        </w:rPr>
        <w:t>Лечение</w:t>
      </w:r>
    </w:p>
    <w:p w14:paraId="4D4B1E77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показан взрослым и детям с 3 месяцев до 17 лет для лечения следующих инфекций, вызванных известными бактериями или с высокой вероятностью чувствительных к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эртапенему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>, а также при необходимости парентерального введения антибиотика:</w:t>
      </w:r>
    </w:p>
    <w:p w14:paraId="55DC911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053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интраабдоминальные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инфекции</w:t>
      </w:r>
    </w:p>
    <w:p w14:paraId="09B74C12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053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внегоспитальная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пневмония</w:t>
      </w:r>
    </w:p>
    <w:p w14:paraId="57EDF5C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0534">
        <w:rPr>
          <w:rFonts w:ascii="Times New Roman" w:hAnsi="Times New Roman"/>
          <w:color w:val="000000"/>
          <w:sz w:val="28"/>
          <w:szCs w:val="28"/>
        </w:rPr>
        <w:t>- острые инфекции в гинекологии</w:t>
      </w:r>
    </w:p>
    <w:p w14:paraId="5EFB9A3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0534">
        <w:rPr>
          <w:rFonts w:ascii="Times New Roman" w:hAnsi="Times New Roman"/>
          <w:color w:val="000000"/>
          <w:sz w:val="28"/>
          <w:szCs w:val="28"/>
        </w:rPr>
        <w:t>- инфекции кожи и мягких тканей при синдроме диабетической стопы</w:t>
      </w:r>
    </w:p>
    <w:p w14:paraId="7557A9D5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0534">
        <w:rPr>
          <w:rFonts w:ascii="Times New Roman" w:hAnsi="Times New Roman"/>
          <w:i/>
          <w:color w:val="000000"/>
          <w:sz w:val="28"/>
          <w:szCs w:val="28"/>
        </w:rPr>
        <w:t>Профилактика</w:t>
      </w:r>
    </w:p>
    <w:p w14:paraId="3F1B54A1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показан у взрослых для профилактики инфекции хирургической раны при плановой хирургической операции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колоректальной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D053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8A6EE5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0534">
        <w:rPr>
          <w:rFonts w:ascii="Times New Roman" w:hAnsi="Times New Roman"/>
          <w:color w:val="000000"/>
          <w:sz w:val="28"/>
          <w:szCs w:val="28"/>
        </w:rPr>
        <w:lastRenderedPageBreak/>
        <w:t>Необходимо учитывать официальные рекомендации по надлежащему применению антибиотиков.</w:t>
      </w:r>
    </w:p>
    <w:p w14:paraId="57CD08D4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D88B59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6166C978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3F4BEF6A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84420628"/>
      <w:r w:rsidRPr="00BD0534">
        <w:rPr>
          <w:rFonts w:ascii="Times New Roman" w:hAnsi="Times New Roman"/>
          <w:sz w:val="28"/>
          <w:szCs w:val="28"/>
        </w:rPr>
        <w:t xml:space="preserve">- гиперчувствительность к действующему веществу или любому из вспомогательных веществ,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5F2C81C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- гиперчувствительность к любому другому антибиотику группы </w:t>
      </w:r>
      <w:proofErr w:type="spellStart"/>
      <w:r w:rsidRPr="00BD0534">
        <w:rPr>
          <w:rFonts w:ascii="Times New Roman" w:hAnsi="Times New Roman"/>
          <w:sz w:val="28"/>
          <w:szCs w:val="28"/>
        </w:rPr>
        <w:t>карбапенемов</w:t>
      </w:r>
      <w:proofErr w:type="spellEnd"/>
    </w:p>
    <w:p w14:paraId="497BD26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>- тяжелая реакция гиперчувствительности (например, анафилактическая реакция, тяжелая форма кожной реакции) к другим бета-</w:t>
      </w:r>
      <w:proofErr w:type="spellStart"/>
      <w:r w:rsidRPr="00BD0534">
        <w:rPr>
          <w:rFonts w:ascii="Times New Roman" w:hAnsi="Times New Roman"/>
          <w:sz w:val="28"/>
          <w:szCs w:val="28"/>
        </w:rPr>
        <w:t>лактамным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антибиотикам в анамнезе (например, пенициллиновые и </w:t>
      </w:r>
      <w:proofErr w:type="spellStart"/>
      <w:r w:rsidRPr="00BD0534">
        <w:rPr>
          <w:rFonts w:ascii="Times New Roman" w:hAnsi="Times New Roman"/>
          <w:sz w:val="28"/>
          <w:szCs w:val="28"/>
        </w:rPr>
        <w:t>цефалоспориновые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антибиотики)</w:t>
      </w:r>
    </w:p>
    <w:bookmarkEnd w:id="1"/>
    <w:p w14:paraId="2E43F08B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F6FDBA2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2" w:name="_Hlk84420649"/>
      <w:r w:rsidRPr="00BD0534">
        <w:rPr>
          <w:rFonts w:ascii="Times New Roman" w:hAnsi="Times New Roman"/>
          <w:color w:val="000000"/>
          <w:sz w:val="28"/>
          <w:szCs w:val="24"/>
        </w:rPr>
        <w:t xml:space="preserve">Взаимодействия, обусловленные ингибированием Р-гликопротеин-опосредованного клиренса или CYP-опосредованного клиренса лекарственных средств, маловероятны. </w:t>
      </w:r>
    </w:p>
    <w:p w14:paraId="0149DF93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 xml:space="preserve">Сообщалось о снижении уровня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вальпроевой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кислоты ниже терапевтического диапазона при совместном введении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вальпроевой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кислоты и препаратов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карбапенемового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ряда с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эртапенемом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. Снижение уровня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вальпроевой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кислоты может привести к неадекватному контролю судорог, поэтому не рекомендуется одновременное применение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эртапенема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вальпроевой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кислоты/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вальпроата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натрия, в этих случаях следует рассмотреть возможность применения альтернативной антибактериальной или противосудорожной терапии.</w:t>
      </w:r>
    </w:p>
    <w:bookmarkEnd w:id="2"/>
    <w:p w14:paraId="0A12B87D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0B3C3BBA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3" w:name="_Hlk84420684"/>
      <w:r w:rsidRPr="00BD0534">
        <w:rPr>
          <w:rFonts w:ascii="Times New Roman" w:hAnsi="Times New Roman"/>
          <w:bCs/>
          <w:i/>
          <w:sz w:val="28"/>
          <w:szCs w:val="28"/>
        </w:rPr>
        <w:t>Гиперчувствительность</w:t>
      </w:r>
    </w:p>
    <w:p w14:paraId="20CC02E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D0534">
        <w:rPr>
          <w:rFonts w:ascii="Times New Roman" w:hAnsi="Times New Roman"/>
          <w:bCs/>
          <w:iCs/>
          <w:sz w:val="28"/>
          <w:szCs w:val="28"/>
        </w:rPr>
        <w:t>Сообщалось о серьезных и иногда фатальных реакциях гиперчувствительности (анафилактических реакциях) у пациентов, получавших лечение бета-</w:t>
      </w:r>
      <w:proofErr w:type="spellStart"/>
      <w:r w:rsidRPr="00BD0534">
        <w:rPr>
          <w:rFonts w:ascii="Times New Roman" w:hAnsi="Times New Roman"/>
          <w:bCs/>
          <w:iCs/>
          <w:sz w:val="28"/>
          <w:szCs w:val="28"/>
        </w:rPr>
        <w:t>лактамными</w:t>
      </w:r>
      <w:proofErr w:type="spellEnd"/>
      <w:r w:rsidRPr="00BD0534">
        <w:rPr>
          <w:rFonts w:ascii="Times New Roman" w:hAnsi="Times New Roman"/>
          <w:bCs/>
          <w:iCs/>
          <w:sz w:val="28"/>
          <w:szCs w:val="28"/>
        </w:rPr>
        <w:t xml:space="preserve"> антибиотиками. Эти реакции чаще развиваются у пациентов с поливалентной аллергией в анамнезе. Перед началом лечения </w:t>
      </w:r>
      <w:proofErr w:type="spellStart"/>
      <w:r w:rsidRPr="00BD0534">
        <w:rPr>
          <w:rFonts w:ascii="Times New Roman" w:hAnsi="Times New Roman"/>
          <w:bCs/>
          <w:iCs/>
          <w:sz w:val="28"/>
          <w:szCs w:val="28"/>
        </w:rPr>
        <w:t>эртапенемом</w:t>
      </w:r>
      <w:proofErr w:type="spellEnd"/>
      <w:r w:rsidRPr="00BD0534">
        <w:rPr>
          <w:rFonts w:ascii="Times New Roman" w:hAnsi="Times New Roman"/>
          <w:bCs/>
          <w:iCs/>
          <w:sz w:val="28"/>
          <w:szCs w:val="28"/>
        </w:rPr>
        <w:t xml:space="preserve"> следует выяснить не было ли раньше у пациента реакций гиперчувствительности к пенициллинам, </w:t>
      </w:r>
      <w:proofErr w:type="spellStart"/>
      <w:r w:rsidRPr="00BD0534">
        <w:rPr>
          <w:rFonts w:ascii="Times New Roman" w:hAnsi="Times New Roman"/>
          <w:bCs/>
          <w:iCs/>
          <w:sz w:val="28"/>
          <w:szCs w:val="28"/>
        </w:rPr>
        <w:t>цефалоспо-ринам</w:t>
      </w:r>
      <w:proofErr w:type="spellEnd"/>
      <w:r w:rsidRPr="00BD0534">
        <w:rPr>
          <w:rFonts w:ascii="Times New Roman" w:hAnsi="Times New Roman"/>
          <w:bCs/>
          <w:iCs/>
          <w:sz w:val="28"/>
          <w:szCs w:val="28"/>
        </w:rPr>
        <w:t>, другим бета-</w:t>
      </w:r>
      <w:proofErr w:type="spellStart"/>
      <w:r w:rsidRPr="00BD0534">
        <w:rPr>
          <w:rFonts w:ascii="Times New Roman" w:hAnsi="Times New Roman"/>
          <w:bCs/>
          <w:iCs/>
          <w:sz w:val="28"/>
          <w:szCs w:val="28"/>
        </w:rPr>
        <w:t>лактамным</w:t>
      </w:r>
      <w:proofErr w:type="spellEnd"/>
      <w:r w:rsidRPr="00BD0534">
        <w:rPr>
          <w:rFonts w:ascii="Times New Roman" w:hAnsi="Times New Roman"/>
          <w:bCs/>
          <w:iCs/>
          <w:sz w:val="28"/>
          <w:szCs w:val="28"/>
        </w:rPr>
        <w:t xml:space="preserve"> антибиотикам и другим аллергенам. Если возникает аллергическая реакция на </w:t>
      </w:r>
      <w:proofErr w:type="spellStart"/>
      <w:r w:rsidRPr="00BD0534">
        <w:rPr>
          <w:rFonts w:ascii="Times New Roman" w:hAnsi="Times New Roman"/>
          <w:bCs/>
          <w:iCs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bCs/>
          <w:iCs/>
          <w:sz w:val="28"/>
          <w:szCs w:val="28"/>
        </w:rPr>
        <w:t xml:space="preserve">, следует немедленно прекратить лечение. </w:t>
      </w:r>
      <w:r w:rsidRPr="00BD0534">
        <w:rPr>
          <w:rFonts w:ascii="Times New Roman" w:hAnsi="Times New Roman"/>
          <w:b/>
          <w:bCs/>
          <w:i/>
          <w:iCs/>
          <w:sz w:val="28"/>
          <w:szCs w:val="28"/>
        </w:rPr>
        <w:t>Серьезные анафилактические реакции требуют немедленного проведения неотложной терапии!</w:t>
      </w:r>
    </w:p>
    <w:p w14:paraId="4D98668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i/>
          <w:sz w:val="28"/>
          <w:szCs w:val="28"/>
        </w:rPr>
        <w:t xml:space="preserve">Суперинфекция </w:t>
      </w:r>
    </w:p>
    <w:p w14:paraId="6AA2C60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Длительное применение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может приводить к избыточному росту нечувствительных микроорганизмов. Необходимо повторно оценивать состояние пациента. Если в ходе лечения возникает суперинфекция, следует провести соответствующее лечение.</w:t>
      </w:r>
    </w:p>
    <w:p w14:paraId="01944035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i/>
          <w:sz w:val="28"/>
          <w:szCs w:val="28"/>
        </w:rPr>
        <w:t>Антибиотик-ассоциированный колит</w:t>
      </w:r>
    </w:p>
    <w:p w14:paraId="2F6FEB2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lastRenderedPageBreak/>
        <w:t xml:space="preserve">Сообщалось, что антибиотик-ассоциированный колит и псевдомембранозный колит, возникшие в результате лечения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эртапенемом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, могут различаться по тяжести - от легкой до угрожающей жизни. Поэтому важно установить этот диагноз у пациентов с диареей, связанной с применением антибактериальных препаратов. Следует рассмотреть вопрос о прекращении терапии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эртапенемом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и назначении специфического лечения инфекции, вызванной </w:t>
      </w:r>
      <w:proofErr w:type="spellStart"/>
      <w:r w:rsidRPr="00BD0534">
        <w:rPr>
          <w:rFonts w:ascii="Times New Roman" w:hAnsi="Times New Roman"/>
          <w:i/>
          <w:iCs/>
          <w:sz w:val="28"/>
          <w:szCs w:val="28"/>
        </w:rPr>
        <w:t>Clostridium</w:t>
      </w:r>
      <w:proofErr w:type="spellEnd"/>
      <w:r w:rsidRPr="00BD053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D0534">
        <w:rPr>
          <w:rFonts w:ascii="Times New Roman" w:hAnsi="Times New Roman"/>
          <w:i/>
          <w:iCs/>
          <w:sz w:val="28"/>
          <w:szCs w:val="28"/>
        </w:rPr>
        <w:t>difficile</w:t>
      </w:r>
      <w:proofErr w:type="spellEnd"/>
      <w:r w:rsidRPr="00BD0534">
        <w:rPr>
          <w:rFonts w:ascii="Times New Roman" w:hAnsi="Times New Roman"/>
          <w:sz w:val="28"/>
          <w:szCs w:val="28"/>
        </w:rPr>
        <w:t>. Лекарственные препараты, подавляющие перистальтику кишечника, не следует назначать.</w:t>
      </w:r>
    </w:p>
    <w:p w14:paraId="739DE07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i/>
          <w:sz w:val="28"/>
          <w:szCs w:val="28"/>
        </w:rPr>
        <w:t>Судороги</w:t>
      </w:r>
    </w:p>
    <w:p w14:paraId="0AB9D0C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Во время клинического исследования сообщалось о появлении судорог у взрослых пациентов в течение лечения или 14 дней наблюдения после прекращения терапии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эртапенемом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(1 г 1 раз/</w:t>
      </w:r>
      <w:proofErr w:type="spellStart"/>
      <w:r w:rsidRPr="00BD0534">
        <w:rPr>
          <w:rFonts w:ascii="Times New Roman" w:hAnsi="Times New Roman"/>
          <w:sz w:val="28"/>
          <w:szCs w:val="28"/>
        </w:rPr>
        <w:t>сут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). Судороги чаще всего наблюдались у пациентов пожилого возраста и у пациентов с ранее существующими расстройствами центральной нервной системы (ЦНС) (например, поражения головного мозга или судороги в анамнезе) и/или с нарушениями функции почек. Подобные случаи имели место и в </w:t>
      </w:r>
      <w:proofErr w:type="spellStart"/>
      <w:r w:rsidRPr="00BD0534">
        <w:rPr>
          <w:rFonts w:ascii="Times New Roman" w:hAnsi="Times New Roman"/>
          <w:sz w:val="28"/>
          <w:szCs w:val="28"/>
        </w:rPr>
        <w:t>постмаркетинговый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период.</w:t>
      </w:r>
    </w:p>
    <w:p w14:paraId="158BF8F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D0534">
        <w:rPr>
          <w:rFonts w:ascii="Times New Roman" w:hAnsi="Times New Roman"/>
          <w:i/>
          <w:iCs/>
          <w:sz w:val="28"/>
          <w:szCs w:val="28"/>
        </w:rPr>
        <w:t>Энцефалопатия</w:t>
      </w:r>
    </w:p>
    <w:p w14:paraId="35DA7020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Сообщалось о случаях энцефалопатии при применении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. При подозрении на энцефалопатию, вызванную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эртапенемом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(например, </w:t>
      </w:r>
      <w:proofErr w:type="spellStart"/>
      <w:r w:rsidRPr="00BD0534">
        <w:rPr>
          <w:rFonts w:ascii="Times New Roman" w:hAnsi="Times New Roman"/>
          <w:sz w:val="28"/>
          <w:szCs w:val="28"/>
        </w:rPr>
        <w:t>миоклонус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, судороги, изменение психического статуса, снижение уровня сознания), следует рассмотреть вопрос об отмене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. Пациенты с почечной недостаточностью подвергаются более высокому риску развития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sz w:val="28"/>
          <w:szCs w:val="28"/>
        </w:rPr>
        <w:t>-индуцированной энцефалопатии и выздоровление может продлиться.</w:t>
      </w:r>
    </w:p>
    <w:p w14:paraId="180C3A0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i/>
          <w:sz w:val="28"/>
          <w:szCs w:val="28"/>
        </w:rPr>
        <w:t xml:space="preserve">Одновременное применение с </w:t>
      </w:r>
      <w:proofErr w:type="spellStart"/>
      <w:r w:rsidRPr="00BD0534">
        <w:rPr>
          <w:rFonts w:ascii="Times New Roman" w:hAnsi="Times New Roman"/>
          <w:i/>
          <w:sz w:val="28"/>
          <w:szCs w:val="28"/>
        </w:rPr>
        <w:t>вальпроевой</w:t>
      </w:r>
      <w:proofErr w:type="spellEnd"/>
      <w:r w:rsidRPr="00BD0534">
        <w:rPr>
          <w:rFonts w:ascii="Times New Roman" w:hAnsi="Times New Roman"/>
          <w:i/>
          <w:sz w:val="28"/>
          <w:szCs w:val="28"/>
        </w:rPr>
        <w:t xml:space="preserve"> кислотой</w:t>
      </w:r>
    </w:p>
    <w:p w14:paraId="281B773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Не рекомендуется одновременное применение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D0534">
        <w:rPr>
          <w:rFonts w:ascii="Times New Roman" w:hAnsi="Times New Roman"/>
          <w:sz w:val="28"/>
          <w:szCs w:val="28"/>
        </w:rPr>
        <w:t>вальпроевой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кислоты/натрия </w:t>
      </w:r>
      <w:proofErr w:type="spellStart"/>
      <w:r w:rsidRPr="00BD0534">
        <w:rPr>
          <w:rFonts w:ascii="Times New Roman" w:hAnsi="Times New Roman"/>
          <w:sz w:val="28"/>
          <w:szCs w:val="28"/>
        </w:rPr>
        <w:t>вальпроата</w:t>
      </w:r>
      <w:proofErr w:type="spellEnd"/>
      <w:r w:rsidRPr="00BD0534">
        <w:rPr>
          <w:rFonts w:ascii="Times New Roman" w:hAnsi="Times New Roman"/>
          <w:sz w:val="28"/>
          <w:szCs w:val="28"/>
        </w:rPr>
        <w:t>.</w:t>
      </w:r>
    </w:p>
    <w:p w14:paraId="40BA1E53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D0534">
        <w:rPr>
          <w:rFonts w:ascii="Times New Roman" w:hAnsi="Times New Roman"/>
          <w:i/>
          <w:sz w:val="28"/>
          <w:szCs w:val="28"/>
        </w:rPr>
        <w:t>Субоптимальное</w:t>
      </w:r>
      <w:proofErr w:type="spellEnd"/>
      <w:r w:rsidRPr="00BD0534">
        <w:rPr>
          <w:rFonts w:ascii="Times New Roman" w:hAnsi="Times New Roman"/>
          <w:i/>
          <w:sz w:val="28"/>
          <w:szCs w:val="28"/>
        </w:rPr>
        <w:t xml:space="preserve"> воздействие</w:t>
      </w:r>
    </w:p>
    <w:p w14:paraId="3F2A34B6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Исходя из имеющихся данных, нельзя исключать, что в некоторых случаях хирургических вмешательств, превышающих 4 часа, пациенты могут подвергаться воздействию недостаточных концентраций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и, следовательно, риску потенциальной неэффективности терапии. Поэтому следует проявлять предосторожность в таких необычных случаях. </w:t>
      </w:r>
    </w:p>
    <w:p w14:paraId="51350CCC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D0534">
        <w:rPr>
          <w:rFonts w:ascii="Times New Roman" w:hAnsi="Times New Roman"/>
          <w:i/>
          <w:iCs/>
          <w:sz w:val="28"/>
          <w:szCs w:val="28"/>
        </w:rPr>
        <w:t>Рекомендации к использованию в определенных группах пациентов</w:t>
      </w:r>
    </w:p>
    <w:p w14:paraId="7B38D06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Опыт применения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при лечении тяжелых инфекций ограничен. В клинических исследованиях лечения </w:t>
      </w:r>
      <w:proofErr w:type="spellStart"/>
      <w:r w:rsidRPr="00BD0534">
        <w:rPr>
          <w:rFonts w:ascii="Times New Roman" w:hAnsi="Times New Roman"/>
          <w:sz w:val="28"/>
          <w:szCs w:val="28"/>
        </w:rPr>
        <w:t>внегоспитальной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пневмонии у 25% оцениваемых пациентов, получавших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, наблюдалось тяжелое течение заболевания (степень тяжести пневмонии&gt; III). В клиническом исследовании при терапии острых гинекологических инфекций у 26% взрослых поддающихся оценке пациентов, получавших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, наблюдалось тяжелое течение заболевания (температура ≥ 39°C и/или бактериемия); у 10 пациентов наблюдалась бактериемия. Из поддающихся </w:t>
      </w:r>
      <w:r w:rsidRPr="00BD0534">
        <w:rPr>
          <w:rFonts w:ascii="Times New Roman" w:hAnsi="Times New Roman"/>
          <w:sz w:val="28"/>
          <w:szCs w:val="28"/>
        </w:rPr>
        <w:lastRenderedPageBreak/>
        <w:t xml:space="preserve">оценке пациентов, получавших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в клиническом исследовании при лечении внутрибрюшных инфекций, 30% взрослых имели генерализованный перитонит и у 39% наблюдались инфекции, поражающие другие участки, помимо аппендикса, включая желудок, двенадцатиперстную кишку, тонкую кишку, толстую кишку и желчный пузырь; в исследование с оценкой APACHE II ≥ 15 было включено ограниченное количество оцениваемых пациентов, эффективность у </w:t>
      </w:r>
      <w:r w:rsidRPr="00BD0534">
        <w:rPr>
          <w:rFonts w:ascii="Times New Roman" w:hAnsi="Times New Roman"/>
          <w:sz w:val="28"/>
          <w:szCs w:val="28"/>
          <w:lang w:val="kk-KZ"/>
        </w:rPr>
        <w:t>них</w:t>
      </w:r>
      <w:r w:rsidRPr="00BD0534">
        <w:rPr>
          <w:rFonts w:ascii="Times New Roman" w:hAnsi="Times New Roman"/>
          <w:sz w:val="28"/>
          <w:szCs w:val="28"/>
        </w:rPr>
        <w:t xml:space="preserve"> не была установлена.</w:t>
      </w:r>
    </w:p>
    <w:p w14:paraId="4DA05856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Эффективность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в лечении </w:t>
      </w:r>
      <w:proofErr w:type="spellStart"/>
      <w:r w:rsidRPr="00BD0534">
        <w:rPr>
          <w:rFonts w:ascii="Times New Roman" w:hAnsi="Times New Roman"/>
          <w:sz w:val="28"/>
          <w:szCs w:val="28"/>
        </w:rPr>
        <w:t>внегоспитальной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пневмонии, вызванной пенициллин-резистентным </w:t>
      </w:r>
      <w:proofErr w:type="spellStart"/>
      <w:r w:rsidRPr="00BD0534">
        <w:rPr>
          <w:rFonts w:ascii="Times New Roman" w:hAnsi="Times New Roman"/>
          <w:i/>
          <w:sz w:val="28"/>
          <w:szCs w:val="28"/>
        </w:rPr>
        <w:t>Streptococcus</w:t>
      </w:r>
      <w:proofErr w:type="spellEnd"/>
      <w:r w:rsidRPr="00BD05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D0534">
        <w:rPr>
          <w:rFonts w:ascii="Times New Roman" w:hAnsi="Times New Roman"/>
          <w:i/>
          <w:sz w:val="28"/>
          <w:szCs w:val="28"/>
        </w:rPr>
        <w:t>pneumoniae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, и в лечении инфекции при синдроме диабетической стопы с сопутствующим остеомиелитом не установлена. Имеется ограниченный опыт применения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при инфекционных заболеваниях тяжелой степени тяжести.</w:t>
      </w:r>
    </w:p>
    <w:p w14:paraId="1B69AF6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Имеется относительно небольшой опыт применения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у детей в возрасте младше 2 лет. В этой группе особое внимание следует уделять определению чувствительности инфицирующего (их) микроорганизма(</w:t>
      </w:r>
      <w:proofErr w:type="spellStart"/>
      <w:r w:rsidRPr="00BD0534">
        <w:rPr>
          <w:rFonts w:ascii="Times New Roman" w:hAnsi="Times New Roman"/>
          <w:sz w:val="28"/>
          <w:szCs w:val="28"/>
        </w:rPr>
        <w:t>ов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) к </w:t>
      </w:r>
      <w:proofErr w:type="spellStart"/>
      <w:r w:rsidRPr="00BD0534">
        <w:rPr>
          <w:rFonts w:ascii="Times New Roman" w:hAnsi="Times New Roman"/>
          <w:sz w:val="28"/>
          <w:szCs w:val="28"/>
        </w:rPr>
        <w:t>эртапенему</w:t>
      </w:r>
      <w:proofErr w:type="spellEnd"/>
      <w:r w:rsidRPr="00BD0534">
        <w:rPr>
          <w:rFonts w:ascii="Times New Roman" w:hAnsi="Times New Roman"/>
          <w:sz w:val="28"/>
          <w:szCs w:val="28"/>
        </w:rPr>
        <w:t>. На данный момент нет данных по безопасности применения у детей в возрасте младше 3 месяцев.</w:t>
      </w:r>
    </w:p>
    <w:p w14:paraId="407A4221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i/>
          <w:sz w:val="28"/>
          <w:szCs w:val="28"/>
        </w:rPr>
        <w:t>Вспомогательные вещества</w:t>
      </w:r>
    </w:p>
    <w:p w14:paraId="2D47CBAC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sz w:val="28"/>
          <w:szCs w:val="28"/>
        </w:rPr>
        <w:t xml:space="preserve">Препарат содержит около 6.0 </w:t>
      </w:r>
      <w:proofErr w:type="spellStart"/>
      <w:r w:rsidRPr="00BD0534">
        <w:rPr>
          <w:rFonts w:ascii="Times New Roman" w:hAnsi="Times New Roman"/>
          <w:sz w:val="28"/>
          <w:szCs w:val="28"/>
        </w:rPr>
        <w:t>мЭкв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(приблизительно 137 мг) натрия в 1.0 г дозы, что следует учитывать при назначении пациентам, находящихся на контролируемой натриевой диете.</w:t>
      </w:r>
    </w:p>
    <w:bookmarkEnd w:id="3"/>
    <w:p w14:paraId="365D5D9A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36DCA7C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4" w:name="_Hlk84420709"/>
      <w:proofErr w:type="spellStart"/>
      <w:r w:rsidRPr="00BD0534">
        <w:rPr>
          <w:rFonts w:ascii="Times New Roman" w:hAnsi="Times New Roman"/>
          <w:iCs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iCs/>
          <w:sz w:val="28"/>
          <w:szCs w:val="28"/>
        </w:rPr>
        <w:t xml:space="preserve"> выделяется </w:t>
      </w:r>
      <w:r w:rsidRPr="00BD0534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BD0534">
        <w:rPr>
          <w:rFonts w:ascii="Times New Roman" w:hAnsi="Times New Roman"/>
          <w:iCs/>
          <w:sz w:val="28"/>
          <w:szCs w:val="28"/>
        </w:rPr>
        <w:t xml:space="preserve"> грудным молоком человека. Исследования на животных не указывают на прямое или косвенное пагубное воздействие на беременность, эмбриональное развитие, роды или послеродовое развитие. Однако </w:t>
      </w:r>
      <w:proofErr w:type="spellStart"/>
      <w:r w:rsidRPr="00BD0534">
        <w:rPr>
          <w:rFonts w:ascii="Times New Roman" w:hAnsi="Times New Roman"/>
          <w:iCs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iCs/>
          <w:sz w:val="28"/>
          <w:szCs w:val="28"/>
        </w:rPr>
        <w:t xml:space="preserve"> не следует применять во время беременности, если потенциальная польза не превышает возможных рисков для ребенка.</w:t>
      </w:r>
    </w:p>
    <w:p w14:paraId="4A1E288E" w14:textId="77777777" w:rsidR="00BD0534" w:rsidRPr="00BD0534" w:rsidRDefault="00BD0534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5" w:name="_Hlk84420715"/>
      <w:bookmarkEnd w:id="4"/>
      <w:proofErr w:type="spellStart"/>
      <w:r w:rsidRPr="00BD0534">
        <w:rPr>
          <w:rFonts w:ascii="Times New Roman" w:hAnsi="Times New Roman"/>
          <w:iCs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iCs/>
          <w:sz w:val="28"/>
          <w:szCs w:val="28"/>
        </w:rPr>
        <w:t xml:space="preserve"> выделяется с грудным молоком человека. Из-за возможности развития нежелательных реакций у ребенка, матери, получающие </w:t>
      </w:r>
      <w:proofErr w:type="spellStart"/>
      <w:r w:rsidRPr="00BD0534">
        <w:rPr>
          <w:rFonts w:ascii="Times New Roman" w:hAnsi="Times New Roman"/>
          <w:iCs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iCs/>
          <w:sz w:val="28"/>
          <w:szCs w:val="28"/>
        </w:rPr>
        <w:t>, не должны кормить грудью своих младенцев.</w:t>
      </w:r>
      <w:bookmarkEnd w:id="5"/>
    </w:p>
    <w:p w14:paraId="0206BB90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57562CF9" w14:textId="77777777" w:rsidR="007D0E84" w:rsidRPr="00BD0534" w:rsidRDefault="00BD053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6" w:name="_Hlk84420731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Исследования влияния </w:t>
      </w:r>
      <w:proofErr w:type="spellStart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способность управлять автотранспортом не проводились. </w:t>
      </w:r>
      <w:proofErr w:type="spellStart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>Эртапенем</w:t>
      </w:r>
      <w:proofErr w:type="spellEnd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влиять на способность пациента управлять автотранспортом и механизмами. Пациенты должны быть проинформированы о том, что при применении </w:t>
      </w:r>
      <w:proofErr w:type="spellStart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наблюдались головокружение и сонливость</w:t>
      </w:r>
      <w:bookmarkEnd w:id="6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0082600" w14:textId="77777777" w:rsidR="00BD0534" w:rsidRPr="00844CE8" w:rsidRDefault="00BD053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A69ACC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598D8B47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7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62516B5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u w:val="single"/>
          <w:lang w:eastAsia="ru-RU"/>
        </w:rPr>
      </w:pPr>
      <w:bookmarkStart w:id="8" w:name="_Hlk84420759"/>
      <w:bookmarkStart w:id="9" w:name="2175220275"/>
      <w:bookmarkEnd w:id="7"/>
      <w:r w:rsidRPr="00BD0534">
        <w:rPr>
          <w:rFonts w:ascii="Times New Roman" w:eastAsia="Times New Roman" w:hAnsi="Times New Roman"/>
          <w:i/>
          <w:sz w:val="28"/>
          <w:szCs w:val="32"/>
          <w:u w:val="single"/>
          <w:lang w:eastAsia="ru-RU"/>
        </w:rPr>
        <w:t>Лечение</w:t>
      </w:r>
    </w:p>
    <w:p w14:paraId="77E4F78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lastRenderedPageBreak/>
        <w:t>Взрослые и подростки (от 13 до 17 лет)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. Доза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составляет 1 г 1 раз/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сут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внутривенно.</w:t>
      </w:r>
    </w:p>
    <w:p w14:paraId="25F87406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Младенцы и дети (в возрасте от 3 месяцев до 12 лет). 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Доза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составляет 15 мг/кг 2 раза/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сут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(не превышая дозу 1 г/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сут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) внутривенно.</w:t>
      </w:r>
    </w:p>
    <w:p w14:paraId="4787C167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u w:val="single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u w:val="single"/>
          <w:lang w:eastAsia="ru-RU"/>
        </w:rPr>
        <w:t>Профилактика</w:t>
      </w:r>
    </w:p>
    <w:p w14:paraId="3E13613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>Взрослые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. Для профилактики инфекций хирургической раны при проведении плановой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колоректальной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хирургической операции, рекомендованная доза составляет 1 г однократно внутривенно за 1 час до хирургического вмешательства.</w:t>
      </w:r>
    </w:p>
    <w:p w14:paraId="08862C51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>Дети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. Вследствие отсутствия данных, безопасность и эффективность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у детей в возрасте до 3 месяцев не установлена.</w:t>
      </w:r>
    </w:p>
    <w:p w14:paraId="1E5EDA06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Пациенты с почечной недостаточностью.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можно применять для лечения инфекций у взрослых пациентов с нарушением функции почек легкой и средней степени тяжести. У пациентов с клиренсом креатинина&gt; 30 мл/мин/1.73 м</w:t>
      </w:r>
      <w:r w:rsidRPr="00BD0534">
        <w:rPr>
          <w:rFonts w:ascii="Times New Roman" w:eastAsia="Times New Roman" w:hAnsi="Times New Roman"/>
          <w:sz w:val="28"/>
          <w:szCs w:val="32"/>
          <w:vertAlign w:val="superscript"/>
          <w:lang w:eastAsia="ru-RU"/>
        </w:rPr>
        <w:t>2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нет необходимости в коррекции дозы. Недостаточно данных о безопасности и эффективности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у пациентов с тяжелой формой нарушения функции почек, поэтому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не следует применять таким пациентам. Нет данных относительно детей и подростков с почечными нарушениями.</w:t>
      </w:r>
    </w:p>
    <w:p w14:paraId="37DECD4E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Пациенты, находящиеся на гемодиализе. 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Недостаточно данных о безопасности и эффективности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у пациентов, которым проводят гемодиализ, поэтому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 не следует применять таким пациентам.</w:t>
      </w:r>
    </w:p>
    <w:p w14:paraId="7976FAD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Нарушение функции печени. 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Нет необходимости в коррекции дозы для пациентов с нарушениями функции печени.</w:t>
      </w:r>
    </w:p>
    <w:p w14:paraId="6482955F" w14:textId="77777777" w:rsidR="00BD0534" w:rsidRPr="00BD0534" w:rsidRDefault="00BD0534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BD0534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Пациенты пожилого возраста. 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Следует применять рекомендованную дозу </w:t>
      </w:r>
      <w:proofErr w:type="spellStart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эртапенема</w:t>
      </w:r>
      <w:proofErr w:type="spellEnd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 xml:space="preserve">, за исключением случаев тяжелой почечной недостаточности </w:t>
      </w:r>
      <w:bookmarkStart w:id="10" w:name="_Hlk88037789"/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(</w:t>
      </w:r>
      <w:r w:rsidRPr="00BD0534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см. почечная недостаточность</w:t>
      </w:r>
      <w:r w:rsidRPr="00BD0534">
        <w:rPr>
          <w:rFonts w:ascii="Times New Roman" w:eastAsia="Times New Roman" w:hAnsi="Times New Roman"/>
          <w:sz w:val="28"/>
          <w:szCs w:val="32"/>
          <w:lang w:eastAsia="ru-RU"/>
        </w:rPr>
        <w:t>).</w:t>
      </w:r>
      <w:bookmarkEnd w:id="8"/>
      <w:bookmarkEnd w:id="10"/>
    </w:p>
    <w:p w14:paraId="00A95A6C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7BFE8CD7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bookmarkStart w:id="11" w:name="_Hlk84420781"/>
      <w:bookmarkStart w:id="12" w:name="2175220276"/>
      <w:bookmarkEnd w:id="9"/>
      <w:r w:rsidRPr="00BD0534">
        <w:rPr>
          <w:rFonts w:ascii="Times New Roman" w:hAnsi="Times New Roman"/>
          <w:i/>
          <w:color w:val="000000"/>
          <w:sz w:val="28"/>
          <w:szCs w:val="24"/>
        </w:rPr>
        <w:t>Внутривенное введение</w:t>
      </w:r>
    </w:p>
    <w:p w14:paraId="6F6E095E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Эртапик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следует вводить в виде инфузии в течение 30 минут. </w:t>
      </w:r>
    </w:p>
    <w:p w14:paraId="6B6A4ADD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 xml:space="preserve">Стандартная продолжительность лечения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эртапенемом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составляет от 3 до 14 дней в зависимости от вида заболевания и вызвавшего его патогенного микроорганизма (микроорганизмов). При наличии клинических показаний допустим переход на последующую пероральную антимикробную терапию в случае клинического улучшения.</w:t>
      </w:r>
    </w:p>
    <w:p w14:paraId="67C6F9E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BD0534">
        <w:rPr>
          <w:rFonts w:ascii="Times New Roman" w:hAnsi="Times New Roman"/>
          <w:i/>
          <w:iCs/>
          <w:color w:val="000000"/>
          <w:sz w:val="28"/>
          <w:szCs w:val="24"/>
        </w:rPr>
        <w:t>Инструкции по применению</w:t>
      </w:r>
    </w:p>
    <w:p w14:paraId="576D988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Только для разового применения.</w:t>
      </w:r>
    </w:p>
    <w:p w14:paraId="2281B183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Восстановленный раствор следует развести в 0.9% (9 мг/мл) растворе натрия хлорида непосредственно после приготовления.</w:t>
      </w:r>
    </w:p>
    <w:p w14:paraId="6483BE16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i/>
          <w:color w:val="000000"/>
          <w:sz w:val="28"/>
          <w:szCs w:val="24"/>
        </w:rPr>
        <w:t>Приготовление раствора для внутривенного введения</w:t>
      </w:r>
    </w:p>
    <w:p w14:paraId="2D20477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Перед введением препарата его следует восстановить и затем развести.</w:t>
      </w:r>
    </w:p>
    <w:p w14:paraId="4A630C5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bCs/>
          <w:i/>
          <w:color w:val="000000"/>
          <w:sz w:val="28"/>
          <w:szCs w:val="24"/>
          <w:u w:val="single"/>
        </w:rPr>
        <w:t>Взрослые и подростки (от 13 лет до 17 лет</w:t>
      </w:r>
      <w:r w:rsidRPr="00BD0534">
        <w:rPr>
          <w:rFonts w:ascii="Times New Roman" w:hAnsi="Times New Roman"/>
          <w:bCs/>
          <w:i/>
          <w:color w:val="000000"/>
          <w:sz w:val="28"/>
          <w:szCs w:val="24"/>
        </w:rPr>
        <w:t>)</w:t>
      </w:r>
    </w:p>
    <w:p w14:paraId="54DCD9C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bCs/>
          <w:i/>
          <w:color w:val="000000"/>
          <w:sz w:val="28"/>
          <w:szCs w:val="24"/>
        </w:rPr>
        <w:t>Восстановление</w:t>
      </w:r>
    </w:p>
    <w:p w14:paraId="379B1995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lastRenderedPageBreak/>
        <w:t xml:space="preserve">Восстановите содержимое флакона с 1 г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эртапенема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путем добавления 10 мл воды для инъекций или 0.9% (9 мг/мл) раствора натрия хлорида, чтобы получить восстановленный раствор в концентрации приблизительно 100 мг/мл. Необходимо перемешать до полного растворения. </w:t>
      </w:r>
    </w:p>
    <w:p w14:paraId="543139C0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i/>
          <w:color w:val="000000"/>
          <w:sz w:val="28"/>
          <w:szCs w:val="24"/>
        </w:rPr>
        <w:t>Разведение</w:t>
      </w:r>
    </w:p>
    <w:p w14:paraId="7F8165A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Для растворения в мешках по 50 мл: для дозы 1 г – немедленно перенесите содержимое флакона с восстановленным препаратом в мешок 50 мл, содержащий 0.9 % (9 мг/мл) раствор натрия хлорида; или</w:t>
      </w:r>
    </w:p>
    <w:p w14:paraId="2226590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Для растворения во флаконах по 50 мл: для дозы 1 г – извлеките 10 мл из флакона на 50 мл, содержащем 0.9 % (9 мг/мл) раствор натрия хлорида. Перенесите содержимое флакона на 1 г с восстановленным препаратом во флакон на 50 мл, содержащий 0.9 % (9 мг/мл) раствор натрия хлорида.</w:t>
      </w:r>
    </w:p>
    <w:p w14:paraId="3432C1A8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i/>
          <w:color w:val="000000"/>
          <w:sz w:val="28"/>
          <w:szCs w:val="24"/>
        </w:rPr>
        <w:t>Инфузия</w:t>
      </w:r>
    </w:p>
    <w:p w14:paraId="1A3C0886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Вводить в виде инфузии на протяжении 30 минут.</w:t>
      </w:r>
    </w:p>
    <w:p w14:paraId="0C1FC2E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4"/>
          <w:u w:val="single"/>
        </w:rPr>
      </w:pPr>
      <w:r w:rsidRPr="00BD0534">
        <w:rPr>
          <w:rFonts w:ascii="Times New Roman" w:hAnsi="Times New Roman"/>
          <w:bCs/>
          <w:i/>
          <w:color w:val="000000"/>
          <w:sz w:val="28"/>
          <w:szCs w:val="24"/>
          <w:u w:val="single"/>
        </w:rPr>
        <w:t>Дети (3 месяцев до 12 лет)</w:t>
      </w:r>
    </w:p>
    <w:p w14:paraId="39845FDF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bCs/>
          <w:i/>
          <w:color w:val="000000"/>
          <w:sz w:val="28"/>
          <w:szCs w:val="24"/>
        </w:rPr>
        <w:t>Восстановление</w:t>
      </w:r>
    </w:p>
    <w:p w14:paraId="265ECCF3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 xml:space="preserve">Восстановите содержимое флакона с 1 г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эртапенема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путем добавления 10 мл воды для инъекций или 0.9% (9 мг/мл) раствора натрия хлорида, чтобы получить восстановленный раствор в концентрации приблизительно 100 мг/мл. Хорошо перемешайте, чтобы растворить.</w:t>
      </w:r>
    </w:p>
    <w:p w14:paraId="1DE93F13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i/>
          <w:color w:val="000000"/>
          <w:sz w:val="28"/>
          <w:szCs w:val="24"/>
        </w:rPr>
        <w:t>Разведение</w:t>
      </w:r>
    </w:p>
    <w:p w14:paraId="1825899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Для растворения в мешках: перенесите объем, эквивалентный 15 мг/кг массы тела (не превышая дозу 1 г/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сут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), в мешок, содержащий 0,9 % (9 мг/мл) раствор натрия хлорида для получения окончательной концентрации 20 мг/мл или меньше; </w:t>
      </w:r>
    </w:p>
    <w:p w14:paraId="731CC0A5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 xml:space="preserve">или </w:t>
      </w:r>
    </w:p>
    <w:p w14:paraId="311762C4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Для растворения во флаконах: перенесите объем, эквивалентный 15 мг/кг массы тела (не превышая дозу 1 г/сутки), во флакон, содержащий 0,9 % (9 мг/мл) раствор натрия хлорида для получения окончательной концентрации 20 мг/мл или меньше.</w:t>
      </w:r>
    </w:p>
    <w:p w14:paraId="6934D78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BD0534">
        <w:rPr>
          <w:rFonts w:ascii="Times New Roman" w:hAnsi="Times New Roman"/>
          <w:i/>
          <w:color w:val="000000"/>
          <w:sz w:val="28"/>
          <w:szCs w:val="24"/>
        </w:rPr>
        <w:t>Инфузия</w:t>
      </w:r>
    </w:p>
    <w:p w14:paraId="2B3D96E9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Вводить в виде инфузии на протяжении 30 минут.</w:t>
      </w:r>
    </w:p>
    <w:p w14:paraId="74D330F3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 xml:space="preserve">Подтверждена совместимость </w:t>
      </w:r>
      <w:proofErr w:type="spellStart"/>
      <w:r w:rsidRPr="00BD0534">
        <w:rPr>
          <w:rFonts w:ascii="Times New Roman" w:hAnsi="Times New Roman"/>
          <w:color w:val="000000"/>
          <w:sz w:val="28"/>
          <w:szCs w:val="24"/>
        </w:rPr>
        <w:t>эртапенема</w:t>
      </w:r>
      <w:proofErr w:type="spellEnd"/>
      <w:r w:rsidRPr="00BD0534">
        <w:rPr>
          <w:rFonts w:ascii="Times New Roman" w:hAnsi="Times New Roman"/>
          <w:color w:val="000000"/>
          <w:sz w:val="28"/>
          <w:szCs w:val="24"/>
        </w:rPr>
        <w:t xml:space="preserve"> с растворами для внутривенного введения, содержащими гепарин натрия и калия хлорид.</w:t>
      </w:r>
    </w:p>
    <w:p w14:paraId="6509BEFB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Лекарственные препараты для парентерального введения перед использованием нужно подвергать визуальному осмотру для выявления посторонних частиц или изменений окраски. Цвет раствора готового препарата варьирует от бесцветного до бледно-желтого (изменение цвета в этих пределах не влияет на активность препарата).</w:t>
      </w:r>
    </w:p>
    <w:p w14:paraId="41F081D1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D0534">
        <w:rPr>
          <w:rFonts w:ascii="Times New Roman" w:hAnsi="Times New Roman"/>
          <w:color w:val="000000"/>
          <w:sz w:val="28"/>
          <w:szCs w:val="24"/>
        </w:rPr>
        <w:t>Весь неиспользованный препарат или отходы следует утилизировать согласно локальным требованиям.</w:t>
      </w:r>
    </w:p>
    <w:p w14:paraId="42B11893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13" w:name="2175220278"/>
      <w:bookmarkEnd w:id="11"/>
      <w:bookmarkEnd w:id="12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1F089D97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_Hlk84420822"/>
      <w:bookmarkEnd w:id="13"/>
      <w:r w:rsidRPr="00BD0534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Симптомы: </w:t>
      </w:r>
      <w:r w:rsidRPr="00BD0534">
        <w:rPr>
          <w:rFonts w:ascii="Times New Roman" w:hAnsi="Times New Roman"/>
          <w:color w:val="000000"/>
          <w:sz w:val="28"/>
          <w:szCs w:val="28"/>
        </w:rPr>
        <w:t xml:space="preserve">передозировка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маловероятна. Внутривенное введение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эртапенема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в суточной дозе 3 г в течение 8 дней здоровым взрослым добровольцам не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не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способствовало развитию значительной токсичности. В клинических исследованиях непреднамеренное введение до 3 г в день взрослым добровольцам не привело к клинически значимым побочным реакциям. В клинических исследованиях у детей однократная внутривенная доза от 40 мг/кг до максимальной дозы 2 г не вызывала токсичности.</w:t>
      </w:r>
    </w:p>
    <w:p w14:paraId="289269B2" w14:textId="77777777" w:rsidR="00BD0534" w:rsidRPr="00BD0534" w:rsidRDefault="00BD0534" w:rsidP="00BD05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0534">
        <w:rPr>
          <w:rFonts w:ascii="Times New Roman" w:hAnsi="Times New Roman"/>
          <w:i/>
          <w:color w:val="000000"/>
          <w:sz w:val="28"/>
          <w:szCs w:val="28"/>
        </w:rPr>
        <w:t>Лечение:</w:t>
      </w:r>
      <w:r w:rsidRPr="00BD0534">
        <w:rPr>
          <w:rFonts w:ascii="Times New Roman" w:hAnsi="Times New Roman"/>
          <w:color w:val="000000"/>
          <w:sz w:val="28"/>
          <w:szCs w:val="28"/>
        </w:rPr>
        <w:t xml:space="preserve"> точной информации о лечении передозировки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эртапенемом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не имеется. В случае передозировки, препарат следует отменить и проводить общее поддерживающее лечение до выведения лекарства почками. </w:t>
      </w:r>
      <w:proofErr w:type="spellStart"/>
      <w:r w:rsidRPr="00BD0534">
        <w:rPr>
          <w:rFonts w:ascii="Times New Roman" w:hAnsi="Times New Roman"/>
          <w:color w:val="000000"/>
          <w:sz w:val="28"/>
          <w:szCs w:val="28"/>
        </w:rPr>
        <w:t>Эртапенем</w:t>
      </w:r>
      <w:proofErr w:type="spellEnd"/>
      <w:r w:rsidRPr="00BD0534">
        <w:rPr>
          <w:rFonts w:ascii="Times New Roman" w:hAnsi="Times New Roman"/>
          <w:color w:val="000000"/>
          <w:sz w:val="28"/>
          <w:szCs w:val="28"/>
        </w:rPr>
        <w:t xml:space="preserve"> можно удалить из организма путем гемодиализа. Однако информации о применении гемодиализа для лечения передозировки не имеется.</w:t>
      </w:r>
    </w:p>
    <w:bookmarkEnd w:id="14"/>
    <w:p w14:paraId="13EDA237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74D593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5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15"/>
    <w:p w14:paraId="033227B9" w14:textId="77777777" w:rsidR="00283C2B" w:rsidRDefault="00283C2B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83C2B">
        <w:rPr>
          <w:rFonts w:ascii="Times New Roman" w:hAnsi="Times New Roman"/>
          <w:b/>
          <w:bCs/>
          <w:i/>
          <w:iCs/>
          <w:sz w:val="28"/>
          <w:szCs w:val="28"/>
        </w:rPr>
        <w:t>Взрослые (старше 18 лет)</w:t>
      </w:r>
    </w:p>
    <w:p w14:paraId="362A83FA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1815E844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BD0534" w:rsidRPr="00BD0534">
        <w:rPr>
          <w:rFonts w:ascii="Times New Roman" w:hAnsi="Times New Roman"/>
          <w:sz w:val="28"/>
          <w:szCs w:val="28"/>
        </w:rPr>
        <w:t>головная боль</w:t>
      </w:r>
    </w:p>
    <w:p w14:paraId="1B7C260A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D0534" w:rsidRPr="00BD0534">
        <w:rPr>
          <w:rFonts w:ascii="Times New Roman" w:hAnsi="Times New Roman"/>
          <w:sz w:val="28"/>
          <w:szCs w:val="28"/>
        </w:rPr>
        <w:t>постинфузионное</w:t>
      </w:r>
      <w:proofErr w:type="spellEnd"/>
      <w:r w:rsidR="00BD0534" w:rsidRPr="00BD0534">
        <w:rPr>
          <w:rFonts w:ascii="Times New Roman" w:hAnsi="Times New Roman"/>
          <w:sz w:val="28"/>
          <w:szCs w:val="28"/>
        </w:rPr>
        <w:t xml:space="preserve"> венозное осложнение, флебит/тромбофлебит</w:t>
      </w:r>
    </w:p>
    <w:p w14:paraId="04CBFCFE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диарея, тошнота, рвота</w:t>
      </w:r>
    </w:p>
    <w:p w14:paraId="20B547F5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сыпь, зуд</w:t>
      </w:r>
    </w:p>
    <w:p w14:paraId="659657DF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повышение активности AЛT, AСT, щелочной фосфатазы</w:t>
      </w:r>
    </w:p>
    <w:p w14:paraId="53B5E5FE" w14:textId="77777777" w:rsidR="00BD0534" w:rsidRPr="00844CE8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увеличение количества тромбоцитов</w:t>
      </w:r>
    </w:p>
    <w:p w14:paraId="04453544" w14:textId="77777777" w:rsidR="00F40388" w:rsidRPr="00844CE8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6E192C12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BD0534" w:rsidRPr="00BD0534">
        <w:rPr>
          <w:rFonts w:ascii="Times New Roman" w:hAnsi="Times New Roman"/>
          <w:sz w:val="28"/>
          <w:szCs w:val="28"/>
        </w:rPr>
        <w:t>кандидоз полости рта, кандидоз, грибковая инфекция, псевдомембранозный энтероколит, вагинит</w:t>
      </w:r>
    </w:p>
    <w:p w14:paraId="56BC9B7C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BD0534" w:rsidRPr="00BD0534">
        <w:rPr>
          <w:rFonts w:ascii="Times New Roman" w:hAnsi="Times New Roman"/>
          <w:sz w:val="28"/>
          <w:szCs w:val="28"/>
        </w:rPr>
        <w:t>анорексия</w:t>
      </w:r>
    </w:p>
    <w:p w14:paraId="1CA5C216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бессонница, спутанность сознания</w:t>
      </w:r>
    </w:p>
    <w:p w14:paraId="1E1377E6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головокружение, сонливость, искажение вкусовых ощущений, судороги</w:t>
      </w:r>
    </w:p>
    <w:p w14:paraId="6BEB64FB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синусовая брадикардия</w:t>
      </w:r>
    </w:p>
    <w:p w14:paraId="408DD464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гипотония</w:t>
      </w:r>
    </w:p>
    <w:p w14:paraId="1C19C6B0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диспноэ,  </w:t>
      </w:r>
      <w:proofErr w:type="spellStart"/>
      <w:r w:rsidRPr="00BD0534">
        <w:rPr>
          <w:rFonts w:ascii="Times New Roman" w:hAnsi="Times New Roman"/>
          <w:sz w:val="28"/>
          <w:szCs w:val="28"/>
        </w:rPr>
        <w:t>фарингеальный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дискомфорт</w:t>
      </w:r>
    </w:p>
    <w:p w14:paraId="23E816EB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запор, кислотная </w:t>
      </w:r>
      <w:proofErr w:type="spellStart"/>
      <w:r w:rsidRPr="00BD0534">
        <w:rPr>
          <w:rFonts w:ascii="Times New Roman" w:hAnsi="Times New Roman"/>
          <w:sz w:val="28"/>
          <w:szCs w:val="28"/>
        </w:rPr>
        <w:t>регургитация</w:t>
      </w:r>
      <w:proofErr w:type="spellEnd"/>
      <w:r w:rsidRPr="00BD0534">
        <w:rPr>
          <w:rFonts w:ascii="Times New Roman" w:hAnsi="Times New Roman"/>
          <w:sz w:val="28"/>
          <w:szCs w:val="28"/>
        </w:rPr>
        <w:t>, сухость во рту, диспепсия, боль в животе</w:t>
      </w:r>
    </w:p>
    <w:p w14:paraId="19C40C11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эритема, крапивница</w:t>
      </w:r>
    </w:p>
    <w:p w14:paraId="110FA1B9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кровоподтек, астения/ слабость, лихорадка, отек/ отечность, боль в грудной клетке</w:t>
      </w:r>
    </w:p>
    <w:p w14:paraId="1FBBFCDE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повышение уровней общего билирубина в сыворотке, прямого билирубина в сыворотке, непрямого билирубина в сыворотке, сывороточного креатинина, мочевины в сыворотке, сывороточной глюкозы</w:t>
      </w:r>
    </w:p>
    <w:p w14:paraId="09E08F24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уменьшение количества лейкоцитов, тромбоцитов, </w:t>
      </w:r>
      <w:proofErr w:type="spellStart"/>
      <w:r w:rsidRPr="00BD0534">
        <w:rPr>
          <w:rFonts w:ascii="Times New Roman" w:hAnsi="Times New Roman"/>
          <w:sz w:val="28"/>
          <w:szCs w:val="28"/>
        </w:rPr>
        <w:t>сегмен-тоядерных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нейтрофилов, уровней гемоглобина и гематокрита; увеличение количества эозинофилов, повышение активированного частичного </w:t>
      </w:r>
      <w:proofErr w:type="spellStart"/>
      <w:r w:rsidRPr="00BD0534">
        <w:rPr>
          <w:rFonts w:ascii="Times New Roman" w:hAnsi="Times New Roman"/>
          <w:sz w:val="28"/>
          <w:szCs w:val="28"/>
        </w:rPr>
        <w:t>тромбопластинового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времени, </w:t>
      </w:r>
      <w:proofErr w:type="spellStart"/>
      <w:r w:rsidRPr="00BD0534">
        <w:rPr>
          <w:rFonts w:ascii="Times New Roman" w:hAnsi="Times New Roman"/>
          <w:sz w:val="28"/>
          <w:szCs w:val="28"/>
        </w:rPr>
        <w:t>протромбинового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времени, количества сегментоядерных нейтрофилов и лейкоцитов</w:t>
      </w:r>
    </w:p>
    <w:p w14:paraId="06E01E4A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увеличение количества бактерий в моче, лейкоцитов в моче, эпителиальных клеток в моче и эритроцитов в моче; наличие в моче дрожжевых грибков</w:t>
      </w:r>
    </w:p>
    <w:p w14:paraId="5EF6B7ED" w14:textId="77777777" w:rsidR="00BD0534" w:rsidRPr="00844CE8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положительный  тест на наличие токсина </w:t>
      </w:r>
      <w:proofErr w:type="spellStart"/>
      <w:r w:rsidRPr="00BD0534">
        <w:rPr>
          <w:rFonts w:ascii="Times New Roman" w:hAnsi="Times New Roman"/>
          <w:i/>
          <w:iCs/>
          <w:sz w:val="28"/>
          <w:szCs w:val="28"/>
        </w:rPr>
        <w:t>Clostridium</w:t>
      </w:r>
      <w:proofErr w:type="spellEnd"/>
      <w:r w:rsidRPr="00BD053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D0534">
        <w:rPr>
          <w:rFonts w:ascii="Times New Roman" w:hAnsi="Times New Roman"/>
          <w:i/>
          <w:iCs/>
          <w:sz w:val="28"/>
          <w:szCs w:val="28"/>
        </w:rPr>
        <w:t>difficile</w:t>
      </w:r>
      <w:proofErr w:type="spellEnd"/>
    </w:p>
    <w:p w14:paraId="39FADE08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6824B810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BD0534" w:rsidRPr="00BD0534">
        <w:rPr>
          <w:rFonts w:ascii="Times New Roman" w:hAnsi="Times New Roman"/>
          <w:sz w:val="28"/>
          <w:szCs w:val="28"/>
        </w:rPr>
        <w:t>пневмония, дерматомикоз, послеоперационная раневая инфекция, инфекция мочевых путей</w:t>
      </w:r>
    </w:p>
    <w:p w14:paraId="63B631E0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D0534" w:rsidRPr="00BD0534">
        <w:rPr>
          <w:rFonts w:ascii="Times New Roman" w:hAnsi="Times New Roman"/>
          <w:sz w:val="28"/>
          <w:szCs w:val="28"/>
        </w:rPr>
        <w:t>нейтропения</w:t>
      </w:r>
      <w:proofErr w:type="spellEnd"/>
      <w:r w:rsidR="00BD0534" w:rsidRPr="00BD0534">
        <w:rPr>
          <w:rFonts w:ascii="Times New Roman" w:hAnsi="Times New Roman"/>
          <w:sz w:val="28"/>
          <w:szCs w:val="28"/>
        </w:rPr>
        <w:t>, тромбоцитопения</w:t>
      </w:r>
    </w:p>
    <w:p w14:paraId="5FA44613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аллергия</w:t>
      </w:r>
    </w:p>
    <w:p w14:paraId="3C212FBA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гипогликемия</w:t>
      </w:r>
    </w:p>
    <w:p w14:paraId="6030D0D4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ажитация, беспокойство, депрессия</w:t>
      </w:r>
    </w:p>
    <w:p w14:paraId="4BC84230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тремор, обморок</w:t>
      </w:r>
    </w:p>
    <w:p w14:paraId="5C9FF7DD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патология склеры</w:t>
      </w:r>
    </w:p>
    <w:p w14:paraId="7FF4BD9C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кровотечение, повышенное артериальное давление</w:t>
      </w:r>
    </w:p>
    <w:p w14:paraId="6B1B1230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заложенность носа, кашель, носовое кровотечение,  </w:t>
      </w:r>
      <w:r w:rsidRPr="00BD0534">
        <w:rPr>
          <w:rFonts w:ascii="Times New Roman" w:hAnsi="Times New Roman"/>
          <w:iCs/>
          <w:sz w:val="28"/>
          <w:szCs w:val="28"/>
        </w:rPr>
        <w:t>хрипы/сухие хрипы, свистящее дыхание</w:t>
      </w:r>
    </w:p>
    <w:p w14:paraId="0895B9D8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дисфагия, фекальное недержание, перитонит</w:t>
      </w:r>
    </w:p>
    <w:p w14:paraId="7307576D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холецистит, желтуха, нарушение функции печени</w:t>
      </w:r>
    </w:p>
    <w:p w14:paraId="7BB1E722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дерматит, десквамация, гиперчувствительный васкулит</w:t>
      </w:r>
    </w:p>
    <w:p w14:paraId="72FCEAFA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судороги мышц, боль в плече</w:t>
      </w:r>
    </w:p>
    <w:p w14:paraId="6BCF5AC0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почечная недостаточность, острая почечная недостаточность</w:t>
      </w:r>
    </w:p>
    <w:p w14:paraId="0CD9612D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аборты</w:t>
      </w:r>
    </w:p>
    <w:p w14:paraId="0A71C4B5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генитальные кровотечение</w:t>
      </w:r>
    </w:p>
    <w:p w14:paraId="49940090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уплотнение в месте инъекций, недомогание</w:t>
      </w:r>
    </w:p>
    <w:p w14:paraId="4DE65F9D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D0534">
        <w:rPr>
          <w:rFonts w:ascii="Times New Roman" w:hAnsi="Times New Roman"/>
          <w:iCs/>
          <w:sz w:val="28"/>
          <w:szCs w:val="28"/>
        </w:rPr>
        <w:t>снижение уровней бикарбоната в сыворотке, креатинина сыворотки и калия сыворотки; повышение уровней сывороточной ЛДГ, сывороточного фосфора, сывороточного калия</w:t>
      </w:r>
    </w:p>
    <w:p w14:paraId="19EEF8EF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уменьшение количества лимфоцитов; увеличение </w:t>
      </w:r>
      <w:proofErr w:type="spellStart"/>
      <w:r w:rsidRPr="00BD0534">
        <w:rPr>
          <w:rFonts w:ascii="Times New Roman" w:hAnsi="Times New Roman"/>
          <w:sz w:val="28"/>
          <w:szCs w:val="28"/>
        </w:rPr>
        <w:t>количе-ства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534">
        <w:rPr>
          <w:rFonts w:ascii="Times New Roman" w:hAnsi="Times New Roman"/>
          <w:sz w:val="28"/>
          <w:szCs w:val="28"/>
        </w:rPr>
        <w:t>палочкоядерных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нейтрофилов, лимфоцитов, </w:t>
      </w:r>
      <w:proofErr w:type="spellStart"/>
      <w:r w:rsidRPr="00BD0534">
        <w:rPr>
          <w:rFonts w:ascii="Times New Roman" w:hAnsi="Times New Roman"/>
          <w:sz w:val="28"/>
          <w:szCs w:val="28"/>
        </w:rPr>
        <w:t>метамиелоцитов</w:t>
      </w:r>
      <w:proofErr w:type="spellEnd"/>
      <w:r w:rsidRPr="00BD0534">
        <w:rPr>
          <w:rFonts w:ascii="Times New Roman" w:hAnsi="Times New Roman"/>
          <w:sz w:val="28"/>
          <w:szCs w:val="28"/>
        </w:rPr>
        <w:t>, моноцитов, миелоцитов; атипичных лимфоцитов</w:t>
      </w:r>
    </w:p>
    <w:p w14:paraId="7FD095B4" w14:textId="77777777" w:rsidR="00BD0534" w:rsidRPr="00844CE8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повышение уровня </w:t>
      </w:r>
      <w:proofErr w:type="spellStart"/>
      <w:r w:rsidRPr="00BD0534">
        <w:rPr>
          <w:rFonts w:ascii="Times New Roman" w:hAnsi="Times New Roman"/>
          <w:sz w:val="28"/>
          <w:szCs w:val="28"/>
        </w:rPr>
        <w:t>уробилиногена</w:t>
      </w:r>
      <w:proofErr w:type="spellEnd"/>
    </w:p>
    <w:p w14:paraId="000C1308" w14:textId="77777777" w:rsidR="007E1A7B" w:rsidRPr="00BD0534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534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14:paraId="6A42B81A" w14:textId="77777777" w:rsidR="005C4B12" w:rsidRPr="00844CE8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 xml:space="preserve">- </w:t>
      </w:r>
      <w:r w:rsidR="00BD0534" w:rsidRPr="00BD0534">
        <w:rPr>
          <w:rFonts w:ascii="Times New Roman" w:hAnsi="Times New Roman"/>
          <w:sz w:val="28"/>
          <w:szCs w:val="28"/>
        </w:rPr>
        <w:t xml:space="preserve">анафилаксия, включая </w:t>
      </w:r>
      <w:proofErr w:type="spellStart"/>
      <w:r w:rsidR="00BD0534" w:rsidRPr="00BD0534">
        <w:rPr>
          <w:rFonts w:ascii="Times New Roman" w:hAnsi="Times New Roman"/>
          <w:sz w:val="28"/>
          <w:szCs w:val="28"/>
        </w:rPr>
        <w:t>анафилактоидные</w:t>
      </w:r>
      <w:proofErr w:type="spellEnd"/>
      <w:r w:rsidR="00BD0534" w:rsidRPr="00BD0534">
        <w:rPr>
          <w:rFonts w:ascii="Times New Roman" w:hAnsi="Times New Roman"/>
          <w:sz w:val="28"/>
          <w:szCs w:val="28"/>
        </w:rPr>
        <w:t xml:space="preserve"> реакции</w:t>
      </w:r>
    </w:p>
    <w:p w14:paraId="1C9D9F01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BD0534" w:rsidRPr="00BD0534">
        <w:rPr>
          <w:rFonts w:ascii="Times New Roman" w:hAnsi="Times New Roman"/>
          <w:sz w:val="28"/>
          <w:szCs w:val="28"/>
        </w:rPr>
        <w:t>изменения психического статуса (включая агрессию, делирий, дезориентацию, изменения ментального состояния)</w:t>
      </w:r>
    </w:p>
    <w:p w14:paraId="65E9BD81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галлюцинации, сниженный уровень сознания, дискинезия, </w:t>
      </w:r>
      <w:proofErr w:type="spellStart"/>
      <w:r w:rsidRPr="00BD0534">
        <w:rPr>
          <w:rFonts w:ascii="Times New Roman" w:hAnsi="Times New Roman"/>
          <w:sz w:val="28"/>
          <w:szCs w:val="28"/>
        </w:rPr>
        <w:t>миоклонус</w:t>
      </w:r>
      <w:proofErr w:type="spellEnd"/>
      <w:r w:rsidRPr="00BD0534">
        <w:rPr>
          <w:rFonts w:ascii="Times New Roman" w:hAnsi="Times New Roman"/>
          <w:sz w:val="28"/>
          <w:szCs w:val="28"/>
        </w:rPr>
        <w:t>, нарушение походки, энцефалопатия</w:t>
      </w:r>
    </w:p>
    <w:p w14:paraId="5317FD64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окрашивание зубов</w:t>
      </w:r>
    </w:p>
    <w:p w14:paraId="5A60C503" w14:textId="77777777" w:rsidR="00BD0534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D0534">
        <w:rPr>
          <w:rFonts w:ascii="Times New Roman" w:hAnsi="Times New Roman"/>
          <w:sz w:val="28"/>
          <w:szCs w:val="28"/>
        </w:rPr>
        <w:t xml:space="preserve">острый генерализованный </w:t>
      </w:r>
      <w:proofErr w:type="spellStart"/>
      <w:r w:rsidRPr="00BD0534">
        <w:rPr>
          <w:rFonts w:ascii="Times New Roman" w:hAnsi="Times New Roman"/>
          <w:sz w:val="28"/>
          <w:szCs w:val="28"/>
        </w:rPr>
        <w:t>экзантематозный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534">
        <w:rPr>
          <w:rFonts w:ascii="Times New Roman" w:hAnsi="Times New Roman"/>
          <w:sz w:val="28"/>
          <w:szCs w:val="28"/>
        </w:rPr>
        <w:t>пустулез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(AGEP), лекарственная сыпь с </w:t>
      </w:r>
      <w:proofErr w:type="spellStart"/>
      <w:r w:rsidRPr="00BD0534">
        <w:rPr>
          <w:rFonts w:ascii="Times New Roman" w:hAnsi="Times New Roman"/>
          <w:sz w:val="28"/>
          <w:szCs w:val="28"/>
        </w:rPr>
        <w:t>эозинофилией</w:t>
      </w:r>
      <w:proofErr w:type="spellEnd"/>
      <w:r w:rsidRPr="00BD0534">
        <w:rPr>
          <w:rFonts w:ascii="Times New Roman" w:hAnsi="Times New Roman"/>
          <w:sz w:val="28"/>
          <w:szCs w:val="28"/>
        </w:rPr>
        <w:t xml:space="preserve"> и системными симптомами (DRESS синдром)</w:t>
      </w:r>
    </w:p>
    <w:p w14:paraId="4D72DC34" w14:textId="77777777" w:rsidR="007E1A7B" w:rsidRPr="007E1A7B" w:rsidRDefault="00BD0534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0534">
        <w:rPr>
          <w:rFonts w:ascii="Times New Roman" w:hAnsi="Times New Roman"/>
          <w:sz w:val="28"/>
          <w:szCs w:val="28"/>
        </w:rPr>
        <w:t>мышечная слабость</w:t>
      </w:r>
    </w:p>
    <w:p w14:paraId="4A76A81B" w14:textId="77777777" w:rsidR="0041162E" w:rsidRDefault="00283C2B" w:rsidP="00844CE8">
      <w:pPr>
        <w:pStyle w:val="ac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283C2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Дети и подростки (от 3 месяцев до 17 лет)</w:t>
      </w:r>
    </w:p>
    <w:p w14:paraId="451BFF41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C2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Часто</w:t>
      </w:r>
    </w:p>
    <w:p w14:paraId="5E1C4C95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диарея</w:t>
      </w:r>
    </w:p>
    <w:p w14:paraId="7EB2E683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пеленочный дерматит</w:t>
      </w:r>
    </w:p>
    <w:p w14:paraId="30422F7E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боль в месте инфузии</w:t>
      </w:r>
    </w:p>
    <w:p w14:paraId="7624D102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повышение активности AЛT и AСT</w:t>
      </w:r>
    </w:p>
    <w:p w14:paraId="7D732A91" w14:textId="77777777" w:rsidR="00283C2B" w:rsidRP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уменьшение количества нейтрофилов</w:t>
      </w:r>
    </w:p>
    <w:p w14:paraId="4634EBCB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C2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Нечасто</w:t>
      </w:r>
    </w:p>
    <w:p w14:paraId="7746B2F8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головная боль</w:t>
      </w:r>
    </w:p>
    <w:p w14:paraId="6E4CC755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приливы жара, гипертензия</w:t>
      </w:r>
    </w:p>
    <w:p w14:paraId="1287EFCF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фекалии обесцвеченные, мелена</w:t>
      </w:r>
    </w:p>
    <w:p w14:paraId="04078948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sz w:val="28"/>
          <w:szCs w:val="28"/>
          <w:lang w:eastAsia="ru-RU"/>
        </w:rPr>
        <w:t>эритема, сыпь, петехии</w:t>
      </w:r>
    </w:p>
    <w:p w14:paraId="302A41A9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жжение в месте инфузии, зуд в месте инфузии, покраснение в месте инфузии, ощущение тепла в месте инфузии, покраснение в месте инъекции</w:t>
      </w:r>
    </w:p>
    <w:p w14:paraId="6025B434" w14:textId="77777777" w:rsidR="00283C2B" w:rsidRPr="00283C2B" w:rsidRDefault="00283C2B" w:rsidP="00844CE8">
      <w:pPr>
        <w:pStyle w:val="ac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283C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увеличение количества тромбоцитов, повышение активированного частичного </w:t>
      </w:r>
      <w:proofErr w:type="spellStart"/>
      <w:r w:rsidRPr="00283C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тромбопластинового</w:t>
      </w:r>
      <w:proofErr w:type="spellEnd"/>
      <w:r w:rsidRPr="00283C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времени, </w:t>
      </w:r>
      <w:proofErr w:type="spellStart"/>
      <w:r w:rsidRPr="00283C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протромбинового</w:t>
      </w:r>
      <w:proofErr w:type="spellEnd"/>
      <w:r w:rsidRPr="00283C2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времени, снижение уровня гемоглобина</w:t>
      </w:r>
    </w:p>
    <w:p w14:paraId="217F177E" w14:textId="77777777" w:rsidR="00283C2B" w:rsidRDefault="00283C2B" w:rsidP="00844CE8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83C2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Неизвестно</w:t>
      </w:r>
    </w:p>
    <w:p w14:paraId="23B50621" w14:textId="77777777" w:rsidR="00283C2B" w:rsidRDefault="00430EA8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30EA8">
        <w:rPr>
          <w:rFonts w:ascii="Times New Roman" w:eastAsia="Times New Roman" w:hAnsi="Times New Roman"/>
          <w:sz w:val="28"/>
          <w:szCs w:val="28"/>
          <w:lang w:eastAsia="ru-RU"/>
        </w:rPr>
        <w:t>изменения психического статуса (включая агрессию)</w:t>
      </w:r>
    </w:p>
    <w:p w14:paraId="72B8F328" w14:textId="77777777" w:rsidR="00430EA8" w:rsidRPr="00283C2B" w:rsidRDefault="00430EA8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30EA8">
        <w:rPr>
          <w:rFonts w:ascii="Times New Roman" w:eastAsia="Times New Roman" w:hAnsi="Times New Roman"/>
          <w:sz w:val="28"/>
          <w:szCs w:val="28"/>
          <w:lang w:eastAsia="ru-RU"/>
        </w:rPr>
        <w:t>галлюцинации</w:t>
      </w:r>
    </w:p>
    <w:p w14:paraId="3C553733" w14:textId="77777777" w:rsidR="00283C2B" w:rsidRPr="00844CE8" w:rsidRDefault="00283C2B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336822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B2EBA91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5AB81AD3" w14:textId="77777777" w:rsidR="006703A5" w:rsidRPr="006C577B" w:rsidRDefault="0059496C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63E9FBCC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6DB793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66283C8B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16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0A79EE7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7" w:name="2175220286"/>
      <w:bookmarkEnd w:id="16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422992">
        <w:rPr>
          <w:rFonts w:ascii="Times New Roman" w:eastAsia="Times New Roman" w:hAnsi="Times New Roman"/>
          <w:bCs/>
          <w:sz w:val="28"/>
          <w:szCs w:val="28"/>
          <w:lang w:eastAsia="ru-RU"/>
        </w:rPr>
        <w:t>ин флакон содержит:</w:t>
      </w:r>
    </w:p>
    <w:p w14:paraId="2987C7CE" w14:textId="77777777" w:rsidR="00422992" w:rsidRPr="00422992" w:rsidRDefault="00422992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2299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активное вещество - </w:t>
      </w:r>
      <w:r w:rsidRPr="004229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натрия </w:t>
      </w:r>
      <w:proofErr w:type="spellStart"/>
      <w:r w:rsidRPr="004229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эртапенема</w:t>
      </w:r>
      <w:proofErr w:type="spellEnd"/>
      <w:r w:rsidR="006F6942" w:rsidRPr="006F694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6F694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="006F6942" w:rsidRPr="006F694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="006F694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192 </w:t>
      </w:r>
      <w:r w:rsidR="006F6942" w:rsidRPr="006F694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</w:t>
      </w:r>
      <w:r w:rsidRPr="004229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эквивалентно </w:t>
      </w:r>
      <w:proofErr w:type="spellStart"/>
      <w:r w:rsidRPr="004229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эртапенему</w:t>
      </w:r>
      <w:proofErr w:type="spellEnd"/>
      <w:r w:rsidRPr="004229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535B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 г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14:paraId="5908F30A" w14:textId="77777777" w:rsidR="00422992" w:rsidRPr="00422992" w:rsidRDefault="006B7A90" w:rsidP="00422992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422992">
        <w:rPr>
          <w:rFonts w:ascii="Times New Roman" w:hAnsi="Times New Roman"/>
          <w:iCs/>
          <w:spacing w:val="-2"/>
          <w:sz w:val="28"/>
          <w:szCs w:val="28"/>
        </w:rPr>
        <w:t>н</w:t>
      </w:r>
      <w:r w:rsidR="00422992" w:rsidRPr="00422992">
        <w:rPr>
          <w:rFonts w:ascii="Times New Roman" w:hAnsi="Times New Roman"/>
          <w:iCs/>
          <w:spacing w:val="-2"/>
          <w:sz w:val="28"/>
          <w:szCs w:val="28"/>
        </w:rPr>
        <w:t>атрия гидрокарбонат</w:t>
      </w:r>
      <w:r w:rsidR="00422992">
        <w:rPr>
          <w:rFonts w:ascii="Times New Roman" w:hAnsi="Times New Roman"/>
          <w:iCs/>
          <w:spacing w:val="-2"/>
          <w:sz w:val="28"/>
          <w:szCs w:val="28"/>
        </w:rPr>
        <w:t>, н</w:t>
      </w:r>
      <w:r w:rsidR="00422992" w:rsidRPr="00422992">
        <w:rPr>
          <w:rFonts w:ascii="Times New Roman" w:hAnsi="Times New Roman"/>
          <w:iCs/>
          <w:spacing w:val="-2"/>
          <w:sz w:val="28"/>
          <w:szCs w:val="28"/>
        </w:rPr>
        <w:t>атрия гидроксид</w:t>
      </w:r>
      <w:r w:rsidR="00422992">
        <w:rPr>
          <w:rFonts w:ascii="Times New Roman" w:hAnsi="Times New Roman"/>
          <w:iCs/>
          <w:spacing w:val="-2"/>
          <w:sz w:val="28"/>
          <w:szCs w:val="28"/>
        </w:rPr>
        <w:t>, в</w:t>
      </w:r>
      <w:r w:rsidR="00422992" w:rsidRPr="00422992">
        <w:rPr>
          <w:rFonts w:ascii="Times New Roman" w:hAnsi="Times New Roman"/>
          <w:iCs/>
          <w:spacing w:val="-2"/>
          <w:sz w:val="28"/>
          <w:szCs w:val="28"/>
        </w:rPr>
        <w:t>ода для инъекций</w:t>
      </w:r>
      <w:r w:rsidR="00422992">
        <w:rPr>
          <w:rFonts w:ascii="Times New Roman" w:hAnsi="Times New Roman"/>
          <w:iCs/>
          <w:spacing w:val="-2"/>
          <w:sz w:val="28"/>
          <w:szCs w:val="28"/>
        </w:rPr>
        <w:t>, а</w:t>
      </w:r>
      <w:r w:rsidR="00422992" w:rsidRPr="00422992">
        <w:rPr>
          <w:rFonts w:ascii="Times New Roman" w:hAnsi="Times New Roman"/>
          <w:iCs/>
          <w:spacing w:val="-2"/>
          <w:sz w:val="28"/>
          <w:szCs w:val="28"/>
        </w:rPr>
        <w:t>зот</w:t>
      </w:r>
      <w:r w:rsidR="00422992"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4760B23B" w14:textId="77777777" w:rsidR="00C91310" w:rsidRPr="007B6381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63A254FA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Описание внешнего вида, запаха, вкуса</w:t>
      </w:r>
    </w:p>
    <w:bookmarkEnd w:id="17"/>
    <w:p w14:paraId="65A2E8F7" w14:textId="77777777" w:rsidR="007B6381" w:rsidRPr="007B6381" w:rsidRDefault="007B6381" w:rsidP="007B6381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381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Белого или почти белого цвета </w:t>
      </w:r>
      <w:proofErr w:type="spellStart"/>
      <w:r w:rsidRPr="007B6381">
        <w:rPr>
          <w:rFonts w:ascii="Times New Roman" w:eastAsia="Times New Roman" w:hAnsi="Times New Roman"/>
          <w:sz w:val="28"/>
          <w:szCs w:val="28"/>
          <w:lang w:eastAsia="ru-RU"/>
        </w:rPr>
        <w:t>лиофилизат</w:t>
      </w:r>
      <w:proofErr w:type="spellEnd"/>
      <w:r w:rsidRPr="007B6381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пробки или порошка.</w:t>
      </w:r>
    </w:p>
    <w:p w14:paraId="35D02605" w14:textId="77777777" w:rsidR="007B6381" w:rsidRPr="007B6381" w:rsidRDefault="007B6381" w:rsidP="007B6381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381">
        <w:rPr>
          <w:rFonts w:ascii="Times New Roman" w:eastAsia="Times New Roman" w:hAnsi="Times New Roman"/>
          <w:sz w:val="28"/>
          <w:szCs w:val="28"/>
          <w:lang w:eastAsia="ru-RU"/>
        </w:rPr>
        <w:t>Восстановленный раствор – бесцветный прозрачный раствор, без видимых частиц.</w:t>
      </w:r>
    </w:p>
    <w:p w14:paraId="0D4F62F0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351DA" w14:textId="77777777" w:rsidR="00C9308C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8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  и упаковка</w:t>
      </w:r>
    </w:p>
    <w:p w14:paraId="63B7E8AB" w14:textId="77777777" w:rsidR="007B6381" w:rsidRPr="007B6381" w:rsidRDefault="007B6381" w:rsidP="007B6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19" w:name="_Hlk160442753"/>
      <w:r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Препарат помещают в прозрачный бесцветный флакон из стекла типа I по ФСША вместимостью 20 мл, укупоренный резиновой пробкой из </w:t>
      </w:r>
      <w:proofErr w:type="spellStart"/>
      <w:r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>хлорбутилкаучука</w:t>
      </w:r>
      <w:proofErr w:type="spellEnd"/>
      <w:r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>, обжатый алюминиевым колпачком и запечатанный пластиковым колпачком типа «</w:t>
      </w:r>
      <w:proofErr w:type="spellStart"/>
      <w:r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>flip-off</w:t>
      </w:r>
      <w:proofErr w:type="spellEnd"/>
      <w:r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». </w:t>
      </w:r>
    </w:p>
    <w:p w14:paraId="2165C51C" w14:textId="77777777" w:rsidR="007B6381" w:rsidRPr="007B6381" w:rsidRDefault="007B6381" w:rsidP="007B6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>По 1 или 10 флаконов вместе с инструкцией по медицинскому применению на казахском и русском языках вкладывают в пачку из картона.</w:t>
      </w:r>
    </w:p>
    <w:bookmarkEnd w:id="19"/>
    <w:p w14:paraId="5847869B" w14:textId="77777777" w:rsidR="006D5B7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03D46E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CF95DEB" w14:textId="77777777" w:rsidR="007B6381" w:rsidRPr="007B6381" w:rsidRDefault="006023A9" w:rsidP="007B6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20" w:name="_Hlk84421192"/>
      <w:r w:rsidRPr="00535BBB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="007B6381" w:rsidRPr="007B63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года</w:t>
      </w:r>
    </w:p>
    <w:bookmarkEnd w:id="20"/>
    <w:p w14:paraId="3594F808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2EFC27E5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1" w:name="2175220288"/>
      <w:bookmarkEnd w:id="18"/>
    </w:p>
    <w:p w14:paraId="1A933FA1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21"/>
    <w:p w14:paraId="1DFCC940" w14:textId="77777777" w:rsidR="007B6381" w:rsidRPr="007B6381" w:rsidRDefault="007B6381" w:rsidP="007B6381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6381">
        <w:rPr>
          <w:rFonts w:ascii="Times New Roman" w:hAnsi="Times New Roman"/>
          <w:color w:val="000000"/>
          <w:sz w:val="28"/>
          <w:szCs w:val="28"/>
        </w:rPr>
        <w:t xml:space="preserve">Хранить при температуре не выше 25ºС. </w:t>
      </w:r>
    </w:p>
    <w:p w14:paraId="05C153DA" w14:textId="77777777" w:rsidR="007B6381" w:rsidRPr="007B6381" w:rsidRDefault="007B6381" w:rsidP="007B6381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6381">
        <w:rPr>
          <w:rFonts w:ascii="Times New Roman" w:hAnsi="Times New Roman"/>
          <w:color w:val="000000"/>
          <w:sz w:val="28"/>
          <w:szCs w:val="28"/>
        </w:rPr>
        <w:t>Восстановленный раствор необходимо использовать в течение 6 часов при температуре хранения 15-25</w:t>
      </w:r>
      <w:r w:rsidRPr="007B6381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7B6381">
        <w:rPr>
          <w:rFonts w:ascii="Times New Roman" w:hAnsi="Times New Roman"/>
          <w:color w:val="000000"/>
          <w:sz w:val="28"/>
          <w:szCs w:val="28"/>
        </w:rPr>
        <w:t>С и в течение 24 ч при температуре хранения 2-8</w:t>
      </w:r>
      <w:r w:rsidRPr="007B6381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7B6381">
        <w:rPr>
          <w:rFonts w:ascii="Times New Roman" w:hAnsi="Times New Roman"/>
          <w:color w:val="000000"/>
          <w:sz w:val="28"/>
          <w:szCs w:val="28"/>
        </w:rPr>
        <w:t>С и в течение 4 ч после выемки из холодильника.</w:t>
      </w:r>
    </w:p>
    <w:p w14:paraId="64BA7D21" w14:textId="77777777" w:rsidR="007B6381" w:rsidRPr="007B6381" w:rsidRDefault="007B6381" w:rsidP="007B6381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 w:rsidRPr="007B6381">
        <w:rPr>
          <w:rFonts w:ascii="Times New Roman" w:hAnsi="Times New Roman"/>
          <w:color w:val="000000"/>
          <w:sz w:val="28"/>
          <w:szCs w:val="28"/>
        </w:rPr>
        <w:t>Хранить в недоступном для детей месте!</w:t>
      </w:r>
    </w:p>
    <w:p w14:paraId="615F37E6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F05563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4B0880D8" w14:textId="77777777" w:rsidR="007B6381" w:rsidRPr="007B6381" w:rsidRDefault="007B6381" w:rsidP="007B6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22" w:name="_Hlk84421214"/>
      <w:r w:rsidRPr="007B6381">
        <w:rPr>
          <w:rFonts w:ascii="Times New Roman" w:hAnsi="Times New Roman"/>
          <w:bCs/>
          <w:color w:val="000000"/>
          <w:sz w:val="28"/>
          <w:szCs w:val="28"/>
        </w:rPr>
        <w:t>По рецепту</w:t>
      </w:r>
    </w:p>
    <w:bookmarkEnd w:id="22"/>
    <w:p w14:paraId="2043BC0E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9239E7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41C4446F" w14:textId="77777777" w:rsidR="007B6381" w:rsidRPr="00DC089C" w:rsidRDefault="007B6381" w:rsidP="007B638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Gland</w:t>
      </w:r>
      <w:r w:rsidRPr="00DC089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DC089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Limited</w:t>
      </w:r>
      <w:r w:rsidRPr="00DC089C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21823749" w14:textId="77777777" w:rsidR="007B6381" w:rsidRPr="007B6381" w:rsidRDefault="007B6381" w:rsidP="007B638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Plot no: 54, 55, 64 to 68, Sy. No. 172 &amp; 177, Phase III, TSIIC,</w:t>
      </w:r>
    </w:p>
    <w:p w14:paraId="1B8FA0A5" w14:textId="77777777" w:rsidR="007B6381" w:rsidRPr="007B6381" w:rsidRDefault="007B6381" w:rsidP="007B638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proofErr w:type="spellStart"/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Pashamylaram</w:t>
      </w:r>
      <w:proofErr w:type="spellEnd"/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 xml:space="preserve"> Village, </w:t>
      </w:r>
      <w:proofErr w:type="spellStart"/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Patancheru</w:t>
      </w:r>
      <w:proofErr w:type="spellEnd"/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 xml:space="preserve"> Mandal,</w:t>
      </w:r>
    </w:p>
    <w:p w14:paraId="7012AB76" w14:textId="77777777" w:rsidR="007B6381" w:rsidRPr="007B6381" w:rsidRDefault="007B6381" w:rsidP="007B638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proofErr w:type="spellStart"/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Sangareddy</w:t>
      </w:r>
      <w:proofErr w:type="spellEnd"/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 xml:space="preserve"> District, Hyderabad, Telangana 502307, </w:t>
      </w:r>
      <w:r w:rsidRPr="007B6381">
        <w:rPr>
          <w:rFonts w:ascii="Times New Roman" w:hAnsi="Times New Roman"/>
          <w:color w:val="000000"/>
          <w:sz w:val="28"/>
          <w:szCs w:val="24"/>
        </w:rPr>
        <w:t>Индия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14:paraId="1748BFB0" w14:textId="77777777" w:rsidR="007B6381" w:rsidRPr="00325B2C" w:rsidRDefault="007B6381" w:rsidP="007B638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B6381">
        <w:rPr>
          <w:rFonts w:ascii="Times New Roman" w:hAnsi="Times New Roman"/>
          <w:color w:val="000000"/>
          <w:sz w:val="28"/>
          <w:szCs w:val="24"/>
        </w:rPr>
        <w:t>Тел</w:t>
      </w:r>
      <w:r w:rsidRPr="00325B2C">
        <w:rPr>
          <w:rFonts w:ascii="Times New Roman" w:hAnsi="Times New Roman"/>
          <w:color w:val="000000"/>
          <w:sz w:val="28"/>
          <w:szCs w:val="24"/>
        </w:rPr>
        <w:t>.: +91-8455223632</w:t>
      </w:r>
    </w:p>
    <w:p w14:paraId="5CEE731D" w14:textId="77777777" w:rsidR="007B6381" w:rsidRPr="00325B2C" w:rsidRDefault="007B6381" w:rsidP="007B638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e</w:t>
      </w:r>
      <w:r w:rsidRPr="00325B2C">
        <w:rPr>
          <w:rFonts w:ascii="Times New Roman" w:hAnsi="Times New Roman"/>
          <w:color w:val="000000"/>
          <w:sz w:val="28"/>
          <w:szCs w:val="24"/>
        </w:rPr>
        <w:t>-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mail</w:t>
      </w:r>
      <w:r w:rsidRPr="00325B2C">
        <w:rPr>
          <w:rFonts w:ascii="Times New Roman" w:hAnsi="Times New Roman"/>
          <w:color w:val="000000"/>
          <w:sz w:val="28"/>
          <w:szCs w:val="24"/>
        </w:rPr>
        <w:t xml:space="preserve">: </w:t>
      </w:r>
      <w:hyperlink r:id="rId9" w:history="1"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gland</w:t>
        </w:r>
        <w:r w:rsidRPr="00325B2C">
          <w:rPr>
            <w:rStyle w:val="af"/>
            <w:rFonts w:ascii="Times New Roman" w:hAnsi="Times New Roman"/>
            <w:sz w:val="28"/>
            <w:szCs w:val="24"/>
          </w:rPr>
          <w:t>@</w:t>
        </w:r>
        <w:proofErr w:type="spellStart"/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glandpharma</w:t>
        </w:r>
        <w:proofErr w:type="spellEnd"/>
        <w:r w:rsidRPr="00325B2C">
          <w:rPr>
            <w:rStyle w:val="af"/>
            <w:rFonts w:ascii="Times New Roman" w:hAnsi="Times New Roman"/>
            <w:sz w:val="28"/>
            <w:szCs w:val="24"/>
          </w:rPr>
          <w:t>.</w:t>
        </w:r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com</w:t>
        </w:r>
      </w:hyperlink>
    </w:p>
    <w:p w14:paraId="42C317DF" w14:textId="77777777" w:rsidR="00DC33F0" w:rsidRPr="00325B2C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7794E9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739892BF" w14:textId="77777777" w:rsidR="007B6381" w:rsidRPr="007B6381" w:rsidRDefault="007B6381" w:rsidP="007B6381">
      <w:pPr>
        <w:pStyle w:val="21"/>
        <w:spacing w:after="0" w:line="240" w:lineRule="auto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>ТОО «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Rogers</w:t>
      </w:r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>», Казахстан</w:t>
      </w:r>
    </w:p>
    <w:p w14:paraId="3F429D00" w14:textId="77777777" w:rsidR="007B6381" w:rsidRPr="007B6381" w:rsidRDefault="007B6381" w:rsidP="007B6381">
      <w:pPr>
        <w:pStyle w:val="21"/>
        <w:spacing w:after="0" w:line="240" w:lineRule="auto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 xml:space="preserve">050043, г. Алматы, мкн. </w:t>
      </w:r>
      <w:proofErr w:type="spellStart"/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>Мирас</w:t>
      </w:r>
      <w:proofErr w:type="spellEnd"/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 xml:space="preserve">, 157, </w:t>
      </w:r>
      <w:proofErr w:type="spellStart"/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>н.п</w:t>
      </w:r>
      <w:proofErr w:type="spellEnd"/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>. 819</w:t>
      </w:r>
    </w:p>
    <w:p w14:paraId="798DED53" w14:textId="77777777" w:rsidR="007B6381" w:rsidRPr="00325B2C" w:rsidRDefault="007B6381" w:rsidP="007B6381">
      <w:pPr>
        <w:pStyle w:val="21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7B6381">
        <w:rPr>
          <w:rFonts w:ascii="Times New Roman" w:hAnsi="Times New Roman"/>
          <w:color w:val="000000"/>
          <w:sz w:val="28"/>
          <w:szCs w:val="24"/>
          <w:lang w:bidi="ru-RU"/>
        </w:rPr>
        <w:t>Тел</w:t>
      </w:r>
      <w:r w:rsidRPr="00325B2C">
        <w:rPr>
          <w:rFonts w:ascii="Times New Roman" w:hAnsi="Times New Roman"/>
          <w:color w:val="000000"/>
          <w:sz w:val="28"/>
          <w:szCs w:val="24"/>
        </w:rPr>
        <w:t xml:space="preserve">. +7 (727) 311-81-96/97, 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e</w:t>
      </w:r>
      <w:r w:rsidRPr="00325B2C">
        <w:rPr>
          <w:rFonts w:ascii="Times New Roman" w:hAnsi="Times New Roman"/>
          <w:color w:val="000000"/>
          <w:sz w:val="28"/>
          <w:szCs w:val="24"/>
        </w:rPr>
        <w:t>-</w:t>
      </w:r>
      <w:r w:rsidRPr="007B6381">
        <w:rPr>
          <w:rFonts w:ascii="Times New Roman" w:hAnsi="Times New Roman"/>
          <w:color w:val="000000"/>
          <w:sz w:val="28"/>
          <w:szCs w:val="24"/>
          <w:lang w:val="en-US"/>
        </w:rPr>
        <w:t>mail</w:t>
      </w:r>
      <w:r w:rsidRPr="00325B2C">
        <w:rPr>
          <w:rFonts w:ascii="Times New Roman" w:hAnsi="Times New Roman"/>
          <w:color w:val="000000"/>
          <w:sz w:val="28"/>
          <w:szCs w:val="24"/>
        </w:rPr>
        <w:t xml:space="preserve">: </w:t>
      </w:r>
      <w:hyperlink r:id="rId10" w:history="1"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office</w:t>
        </w:r>
        <w:r w:rsidRPr="00325B2C">
          <w:rPr>
            <w:rStyle w:val="af"/>
            <w:rFonts w:ascii="Times New Roman" w:hAnsi="Times New Roman"/>
            <w:sz w:val="28"/>
            <w:szCs w:val="24"/>
          </w:rPr>
          <w:t>.</w:t>
        </w:r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secretary</w:t>
        </w:r>
        <w:r w:rsidRPr="00325B2C">
          <w:rPr>
            <w:rStyle w:val="af"/>
            <w:rFonts w:ascii="Times New Roman" w:hAnsi="Times New Roman"/>
            <w:sz w:val="28"/>
            <w:szCs w:val="24"/>
          </w:rPr>
          <w:t>@</w:t>
        </w:r>
        <w:proofErr w:type="spellStart"/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rogersgroup</w:t>
        </w:r>
        <w:proofErr w:type="spellEnd"/>
        <w:r w:rsidRPr="00325B2C">
          <w:rPr>
            <w:rStyle w:val="af"/>
            <w:rFonts w:ascii="Times New Roman" w:hAnsi="Times New Roman"/>
            <w:sz w:val="28"/>
            <w:szCs w:val="24"/>
          </w:rPr>
          <w:t>.</w:t>
        </w:r>
        <w:r w:rsidRPr="007B6381">
          <w:rPr>
            <w:rStyle w:val="af"/>
            <w:rFonts w:ascii="Times New Roman" w:hAnsi="Times New Roman"/>
            <w:sz w:val="28"/>
            <w:szCs w:val="24"/>
            <w:lang w:val="en-US"/>
          </w:rPr>
          <w:t>in</w:t>
        </w:r>
      </w:hyperlink>
    </w:p>
    <w:p w14:paraId="54D691AC" w14:textId="77777777" w:rsidR="00C91310" w:rsidRPr="00325B2C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69F4B86" w14:textId="77777777" w:rsidR="00891711" w:rsidRPr="00891711" w:rsidRDefault="00F8747E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891711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электронная  почта) организации </w:t>
      </w:r>
      <w:r w:rsidRPr="00891711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</w:t>
      </w:r>
      <w:r w:rsidRPr="00891711">
        <w:rPr>
          <w:rFonts w:ascii="Times New Roman" w:hAnsi="Times New Roman"/>
          <w:b/>
          <w:iCs/>
          <w:sz w:val="28"/>
          <w:szCs w:val="28"/>
        </w:rPr>
        <w:lastRenderedPageBreak/>
        <w:t>принимающей претензии (предложения)  по качеству лекарственн</w:t>
      </w:r>
      <w:r w:rsidR="006D38E4">
        <w:rPr>
          <w:rFonts w:ascii="Times New Roman" w:hAnsi="Times New Roman"/>
          <w:b/>
          <w:iCs/>
          <w:sz w:val="28"/>
          <w:szCs w:val="28"/>
        </w:rPr>
        <w:t xml:space="preserve">ых  средств  от потребителей и 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="00891711" w:rsidRPr="00891711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68213DED" w14:textId="77777777" w:rsidR="007B6381" w:rsidRPr="007B6381" w:rsidRDefault="007B6381" w:rsidP="007B6381">
      <w:pPr>
        <w:pStyle w:val="ConsPlusNormal"/>
        <w:jc w:val="both"/>
        <w:rPr>
          <w:sz w:val="28"/>
          <w:szCs w:val="28"/>
        </w:rPr>
      </w:pPr>
      <w:r w:rsidRPr="007B6381">
        <w:rPr>
          <w:sz w:val="28"/>
          <w:szCs w:val="28"/>
        </w:rPr>
        <w:t>ТОО «Rogers Pharma», Казахстан</w:t>
      </w:r>
    </w:p>
    <w:p w14:paraId="5E519CAA" w14:textId="77777777" w:rsidR="007B6381" w:rsidRPr="007B6381" w:rsidRDefault="007B6381" w:rsidP="007B6381">
      <w:pPr>
        <w:pStyle w:val="ConsPlusNormal"/>
        <w:jc w:val="both"/>
        <w:rPr>
          <w:sz w:val="28"/>
          <w:szCs w:val="28"/>
        </w:rPr>
      </w:pPr>
      <w:r w:rsidRPr="007B6381">
        <w:rPr>
          <w:sz w:val="28"/>
          <w:szCs w:val="28"/>
        </w:rPr>
        <w:t xml:space="preserve">050043, г. Алматы, мкн. </w:t>
      </w:r>
      <w:proofErr w:type="spellStart"/>
      <w:r w:rsidRPr="007B6381">
        <w:rPr>
          <w:sz w:val="28"/>
          <w:szCs w:val="28"/>
        </w:rPr>
        <w:t>Мирас</w:t>
      </w:r>
      <w:proofErr w:type="spellEnd"/>
      <w:r w:rsidRPr="007B6381">
        <w:rPr>
          <w:sz w:val="28"/>
          <w:szCs w:val="28"/>
        </w:rPr>
        <w:t xml:space="preserve">, 157, </w:t>
      </w:r>
      <w:proofErr w:type="spellStart"/>
      <w:r w:rsidRPr="007B6381">
        <w:rPr>
          <w:sz w:val="28"/>
          <w:szCs w:val="28"/>
        </w:rPr>
        <w:t>н.п</w:t>
      </w:r>
      <w:proofErr w:type="spellEnd"/>
      <w:r w:rsidRPr="007B6381">
        <w:rPr>
          <w:sz w:val="28"/>
          <w:szCs w:val="28"/>
        </w:rPr>
        <w:t>. 819</w:t>
      </w:r>
    </w:p>
    <w:p w14:paraId="7BF4115A" w14:textId="77777777" w:rsidR="007B6381" w:rsidRDefault="007B6381" w:rsidP="007B6381">
      <w:pPr>
        <w:pStyle w:val="ConsPlusNormal"/>
        <w:jc w:val="both"/>
        <w:rPr>
          <w:sz w:val="28"/>
          <w:szCs w:val="28"/>
        </w:rPr>
      </w:pPr>
      <w:r w:rsidRPr="007B6381">
        <w:rPr>
          <w:sz w:val="28"/>
          <w:szCs w:val="28"/>
        </w:rPr>
        <w:t xml:space="preserve">Тел. +7 (727) 311-81-96/97, </w:t>
      </w:r>
    </w:p>
    <w:p w14:paraId="5D4AA39A" w14:textId="77777777" w:rsidR="00C96C5E" w:rsidRPr="007B6381" w:rsidRDefault="00C96C5E" w:rsidP="007B6381">
      <w:pPr>
        <w:pStyle w:val="ConsPlusNormal"/>
        <w:jc w:val="both"/>
        <w:rPr>
          <w:sz w:val="28"/>
          <w:szCs w:val="28"/>
        </w:rPr>
      </w:pPr>
      <w:r w:rsidRPr="00C96C5E">
        <w:rPr>
          <w:sz w:val="28"/>
          <w:szCs w:val="28"/>
        </w:rPr>
        <w:t>Мобильный телефон с 24-х часовой доступностью: +7 747 991 19 04</w:t>
      </w:r>
    </w:p>
    <w:p w14:paraId="1373392B" w14:textId="77777777" w:rsidR="007B6381" w:rsidRPr="000F04D0" w:rsidRDefault="007B6381" w:rsidP="007B6381">
      <w:pPr>
        <w:pStyle w:val="ConsPlusNormal"/>
        <w:jc w:val="both"/>
        <w:rPr>
          <w:sz w:val="28"/>
          <w:szCs w:val="28"/>
          <w:lang w:val="en-US"/>
        </w:rPr>
      </w:pPr>
      <w:r w:rsidRPr="007B6381">
        <w:rPr>
          <w:sz w:val="28"/>
          <w:szCs w:val="28"/>
          <w:lang w:val="en-US"/>
        </w:rPr>
        <w:t>e</w:t>
      </w:r>
      <w:r w:rsidRPr="00C96C5E">
        <w:rPr>
          <w:sz w:val="28"/>
          <w:szCs w:val="28"/>
          <w:lang w:val="en-US"/>
        </w:rPr>
        <w:t>-</w:t>
      </w:r>
      <w:r w:rsidRPr="007B6381">
        <w:rPr>
          <w:sz w:val="28"/>
          <w:szCs w:val="28"/>
          <w:lang w:val="en-US"/>
        </w:rPr>
        <w:t>mail</w:t>
      </w:r>
      <w:r w:rsidRPr="00C96C5E">
        <w:rPr>
          <w:sz w:val="28"/>
          <w:szCs w:val="28"/>
          <w:lang w:val="en-US"/>
        </w:rPr>
        <w:t xml:space="preserve">: </w:t>
      </w:r>
      <w:hyperlink r:id="rId11" w:history="1">
        <w:r w:rsidRPr="007B6381">
          <w:rPr>
            <w:rStyle w:val="af"/>
            <w:sz w:val="28"/>
            <w:szCs w:val="28"/>
            <w:lang w:val="en-US"/>
          </w:rPr>
          <w:t>office</w:t>
        </w:r>
        <w:r w:rsidRPr="00C96C5E">
          <w:rPr>
            <w:rStyle w:val="af"/>
            <w:sz w:val="28"/>
            <w:szCs w:val="28"/>
            <w:lang w:val="en-US"/>
          </w:rPr>
          <w:t>.</w:t>
        </w:r>
        <w:r w:rsidRPr="007B6381">
          <w:rPr>
            <w:rStyle w:val="af"/>
            <w:sz w:val="28"/>
            <w:szCs w:val="28"/>
            <w:lang w:val="en-US"/>
          </w:rPr>
          <w:t>secretary</w:t>
        </w:r>
        <w:r w:rsidRPr="00C96C5E">
          <w:rPr>
            <w:rStyle w:val="af"/>
            <w:sz w:val="28"/>
            <w:szCs w:val="28"/>
            <w:lang w:val="en-US"/>
          </w:rPr>
          <w:t>@</w:t>
        </w:r>
        <w:r w:rsidRPr="007B6381">
          <w:rPr>
            <w:rStyle w:val="af"/>
            <w:sz w:val="28"/>
            <w:szCs w:val="28"/>
            <w:lang w:val="en-US"/>
          </w:rPr>
          <w:t>rogersgroup</w:t>
        </w:r>
        <w:r w:rsidRPr="00C96C5E">
          <w:rPr>
            <w:rStyle w:val="af"/>
            <w:sz w:val="28"/>
            <w:szCs w:val="28"/>
            <w:lang w:val="en-US"/>
          </w:rPr>
          <w:t>.</w:t>
        </w:r>
        <w:r w:rsidRPr="007B6381">
          <w:rPr>
            <w:rStyle w:val="af"/>
            <w:sz w:val="28"/>
            <w:szCs w:val="28"/>
            <w:lang w:val="en-US"/>
          </w:rPr>
          <w:t>in</w:t>
        </w:r>
      </w:hyperlink>
      <w:r w:rsidRPr="00C96C5E">
        <w:rPr>
          <w:sz w:val="28"/>
          <w:szCs w:val="28"/>
          <w:lang w:val="en-US"/>
        </w:rPr>
        <w:t xml:space="preserve">, </w:t>
      </w:r>
      <w:r w:rsidR="000F04D0" w:rsidRPr="000F04D0">
        <w:rPr>
          <w:rStyle w:val="af"/>
          <w:sz w:val="28"/>
          <w:szCs w:val="28"/>
          <w:lang w:val="en-US"/>
        </w:rPr>
        <w:t>pharmacovigilance@rogerspharma.kz</w:t>
      </w:r>
    </w:p>
    <w:p w14:paraId="4664E184" w14:textId="77777777" w:rsidR="00844CE8" w:rsidRPr="00C96C5E" w:rsidRDefault="00844CE8" w:rsidP="007B6381">
      <w:pPr>
        <w:pStyle w:val="ConsPlusNormal"/>
        <w:jc w:val="both"/>
        <w:rPr>
          <w:sz w:val="28"/>
          <w:szCs w:val="28"/>
          <w:lang w:val="en-US"/>
        </w:rPr>
      </w:pPr>
    </w:p>
    <w:p w14:paraId="272C55F4" w14:textId="77777777" w:rsidR="002C76D7" w:rsidRPr="00C96C5E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6AEA32AD" w14:textId="72FA533E" w:rsidR="00B724B4" w:rsidRDefault="00B724B4"/>
    <w:sectPr w:rsidR="00B724B4" w:rsidSect="00F97B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E6EE" w14:textId="77777777" w:rsidR="0059496C" w:rsidRDefault="0059496C" w:rsidP="00D275FC">
      <w:pPr>
        <w:spacing w:after="0" w:line="240" w:lineRule="auto"/>
      </w:pPr>
      <w:r>
        <w:separator/>
      </w:r>
    </w:p>
  </w:endnote>
  <w:endnote w:type="continuationSeparator" w:id="0">
    <w:p w14:paraId="5544AA8F" w14:textId="77777777" w:rsidR="0059496C" w:rsidRDefault="0059496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1596" w14:textId="77777777" w:rsidR="009D472B" w:rsidRDefault="0059496C"/>
  <w:p w14:paraId="2D4605AB" w14:textId="77777777" w:rsidR="00B724B4" w:rsidRDefault="0059496C">
    <w:r>
      <w:rPr>
        <w:rFonts w:ascii="Times New Roman" w:eastAsia="Times New Roman" w:hAnsi="Times New Roman"/>
      </w:rPr>
      <w:t>Решение: N085759</w:t>
    </w:r>
    <w:r>
      <w:rPr>
        <w:rFonts w:ascii="Times New Roman" w:eastAsia="Times New Roman" w:hAnsi="Times New Roman"/>
      </w:rPr>
      <w:br/>
      <w:t>Дата решения: 12.05.2025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 xml:space="preserve">(Комитет медицинского и </w:t>
    </w:r>
    <w:r>
      <w:rPr>
        <w:rFonts w:ascii="Times New Roman" w:eastAsia="Times New Roman" w:hAnsi="Times New Roman"/>
      </w:rPr>
      <w:t>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19C7" w14:textId="77777777" w:rsidR="009D472B" w:rsidRDefault="0059496C"/>
  <w:p w14:paraId="6040BA89" w14:textId="108254C2" w:rsidR="00B724B4" w:rsidRDefault="00B724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E432" w14:textId="77777777" w:rsidR="009D472B" w:rsidRDefault="0059496C"/>
  <w:p w14:paraId="731DFF6B" w14:textId="77777777" w:rsidR="00B724B4" w:rsidRDefault="0059496C">
    <w:r>
      <w:rPr>
        <w:rFonts w:ascii="Times New Roman" w:eastAsia="Times New Roman" w:hAnsi="Times New Roman"/>
      </w:rPr>
      <w:t>Решени</w:t>
    </w:r>
    <w:r>
      <w:rPr>
        <w:rFonts w:ascii="Times New Roman" w:eastAsia="Times New Roman" w:hAnsi="Times New Roman"/>
      </w:rPr>
      <w:t>е: N085759</w:t>
    </w:r>
    <w:r>
      <w:rPr>
        <w:rFonts w:ascii="Times New Roman" w:eastAsia="Times New Roman" w:hAnsi="Times New Roman"/>
      </w:rPr>
      <w:br/>
      <w:t>Дата решения: 12.05.2025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</w:t>
    </w:r>
    <w:r>
      <w:rPr>
        <w:rFonts w:ascii="Times New Roman" w:eastAsia="Times New Roman" w:hAnsi="Times New Roman"/>
      </w:rPr>
      <w:t>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D2C5" w14:textId="77777777" w:rsidR="0059496C" w:rsidRDefault="0059496C" w:rsidP="00D275FC">
      <w:pPr>
        <w:spacing w:after="0" w:line="240" w:lineRule="auto"/>
      </w:pPr>
      <w:r>
        <w:separator/>
      </w:r>
    </w:p>
  </w:footnote>
  <w:footnote w:type="continuationSeparator" w:id="0">
    <w:p w14:paraId="49961FA7" w14:textId="77777777" w:rsidR="0059496C" w:rsidRDefault="0059496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834C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C56D8" wp14:editId="5EBC7BDA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E83CCC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C56D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FE83CCC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0F04D0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83C2B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5B2C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1162E"/>
    <w:rsid w:val="00422992"/>
    <w:rsid w:val="0042786D"/>
    <w:rsid w:val="00430EA8"/>
    <w:rsid w:val="00433C62"/>
    <w:rsid w:val="00434D01"/>
    <w:rsid w:val="00472EF5"/>
    <w:rsid w:val="0048687C"/>
    <w:rsid w:val="004A31B4"/>
    <w:rsid w:val="004C1922"/>
    <w:rsid w:val="004C462F"/>
    <w:rsid w:val="004D49E9"/>
    <w:rsid w:val="004F692A"/>
    <w:rsid w:val="005071DA"/>
    <w:rsid w:val="00512C02"/>
    <w:rsid w:val="00523D82"/>
    <w:rsid w:val="00525856"/>
    <w:rsid w:val="00535BBB"/>
    <w:rsid w:val="00541A00"/>
    <w:rsid w:val="005444B2"/>
    <w:rsid w:val="00552F8B"/>
    <w:rsid w:val="00561FE7"/>
    <w:rsid w:val="00575348"/>
    <w:rsid w:val="005779DE"/>
    <w:rsid w:val="005869C5"/>
    <w:rsid w:val="0059214B"/>
    <w:rsid w:val="0059496C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23A9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014F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6F6942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B638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57B"/>
    <w:rsid w:val="008832E5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8185B"/>
    <w:rsid w:val="00AA5E2F"/>
    <w:rsid w:val="00AA7317"/>
    <w:rsid w:val="00AC2C0B"/>
    <w:rsid w:val="00AC4905"/>
    <w:rsid w:val="00AE7922"/>
    <w:rsid w:val="00B01011"/>
    <w:rsid w:val="00B11878"/>
    <w:rsid w:val="00B46F30"/>
    <w:rsid w:val="00B608C1"/>
    <w:rsid w:val="00B60D3D"/>
    <w:rsid w:val="00B61D95"/>
    <w:rsid w:val="00B724B4"/>
    <w:rsid w:val="00B9187F"/>
    <w:rsid w:val="00BB3050"/>
    <w:rsid w:val="00BB7831"/>
    <w:rsid w:val="00BC31BC"/>
    <w:rsid w:val="00BC6167"/>
    <w:rsid w:val="00BD0534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6C5E"/>
    <w:rsid w:val="00C97365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089C"/>
    <w:rsid w:val="00DC33F0"/>
    <w:rsid w:val="00DF11A7"/>
    <w:rsid w:val="00E03E8D"/>
    <w:rsid w:val="00E271CB"/>
    <w:rsid w:val="00E34FE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45E0"/>
    <w:rsid w:val="00F63389"/>
    <w:rsid w:val="00F8747E"/>
    <w:rsid w:val="00F91977"/>
    <w:rsid w:val="00F92ACD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F411C"/>
  <w15:docId w15:val="{9FDAFE7C-2459-4F52-AD60-946FE8E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B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nd@glandpharm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8949-D889-417C-A652-7F02C7CC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3018</Words>
  <Characters>17204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20182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30</cp:revision>
  <cp:lastPrinted>2018-03-22T06:08:00Z</cp:lastPrinted>
  <dcterms:created xsi:type="dcterms:W3CDTF">2020-01-20T04:40:00Z</dcterms:created>
  <dcterms:modified xsi:type="dcterms:W3CDTF">2025-05-13T06:58:00Z</dcterms:modified>
</cp:coreProperties>
</file>